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2A0" w:rsidRPr="005B2B66" w:rsidRDefault="003472A0" w:rsidP="003472A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0B54C6" w:rsidRDefault="000B54C6" w:rsidP="003E7684">
      <w:pPr>
        <w:pStyle w:val="Default"/>
        <w:spacing w:line="312" w:lineRule="auto"/>
        <w:ind w:left="-426" w:right="-285"/>
        <w:jc w:val="center"/>
        <w:rPr>
          <w:sz w:val="28"/>
          <w:szCs w:val="28"/>
        </w:rPr>
      </w:pPr>
    </w:p>
    <w:p w:rsidR="004E334A" w:rsidRDefault="000B54C6" w:rsidP="003E7684">
      <w:pPr>
        <w:pStyle w:val="Default"/>
        <w:spacing w:line="312" w:lineRule="auto"/>
        <w:ind w:left="-426" w:right="-2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4871" cy="9042400"/>
            <wp:effectExtent l="19050" t="0" r="2579" b="0"/>
            <wp:docPr id="7" name="Рисунок 1" descr="\\192.168.10.7\public\part2\Яблоков НО\CCF2103202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7\public\part2\Яблоков НО\CCF21032022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65" t="5542" r="5912" b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71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09E6" w:rsidRPr="005B2B66" w:rsidRDefault="00AC09E6" w:rsidP="003708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AC09E6" w:rsidRPr="005B2B66" w:rsidSect="00CD5B2B">
          <w:footerReference w:type="even" r:id="rId9"/>
          <w:pgSz w:w="11906" w:h="16838"/>
          <w:pgMar w:top="426" w:right="1134" w:bottom="851" w:left="1134" w:header="709" w:footer="709" w:gutter="0"/>
          <w:pgNumType w:start="215"/>
          <w:cols w:space="708"/>
          <w:docGrid w:linePitch="360"/>
        </w:sectPr>
      </w:pPr>
    </w:p>
    <w:p w:rsidR="00B735B2" w:rsidRPr="005B2B66" w:rsidRDefault="00370844" w:rsidP="00D96D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lastRenderedPageBreak/>
        <w:t>Материалы, обосновывающие общие допустимые уловы водных биологических ресурсов во внутренних водах Красноярского края и Республики Хакасия, за исключением внутренних морских вод, на 202</w:t>
      </w:r>
      <w:r w:rsidR="001E6650">
        <w:rPr>
          <w:rFonts w:ascii="Times New Roman" w:hAnsi="Times New Roman" w:cs="Times New Roman"/>
          <w:b/>
          <w:sz w:val="26"/>
          <w:szCs w:val="26"/>
        </w:rPr>
        <w:t>3</w:t>
      </w:r>
      <w:r w:rsidRPr="005B2B66">
        <w:rPr>
          <w:rFonts w:ascii="Times New Roman" w:hAnsi="Times New Roman" w:cs="Times New Roman"/>
          <w:b/>
          <w:sz w:val="26"/>
          <w:szCs w:val="26"/>
        </w:rPr>
        <w:t xml:space="preserve"> год </w:t>
      </w:r>
    </w:p>
    <w:p w:rsidR="00915810" w:rsidRPr="005B2B66" w:rsidRDefault="00370844" w:rsidP="00D96DC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B66">
        <w:rPr>
          <w:rFonts w:ascii="Times New Roman" w:hAnsi="Times New Roman" w:cs="Times New Roman"/>
          <w:b/>
          <w:sz w:val="26"/>
          <w:szCs w:val="26"/>
        </w:rPr>
        <w:t>(с оценкой воздействия на окружающую среду)</w:t>
      </w:r>
    </w:p>
    <w:p w:rsidR="00370844" w:rsidRPr="005B2B66" w:rsidRDefault="00370844" w:rsidP="003708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15810" w:rsidRPr="005B2B66" w:rsidRDefault="00915810" w:rsidP="00915810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ОДУ водных биоресурсов в 202</w:t>
      </w:r>
      <w:r w:rsidR="001E665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B2B66">
        <w:rPr>
          <w:rFonts w:ascii="Times New Roman" w:eastAsia="Times New Roman" w:hAnsi="Times New Roman" w:cs="Times New Roman"/>
          <w:sz w:val="24"/>
          <w:szCs w:val="24"/>
        </w:rPr>
        <w:t xml:space="preserve"> г. в водных объектах зоны ответственности </w:t>
      </w:r>
    </w:p>
    <w:p w:rsidR="004E334A" w:rsidRPr="005B2B66" w:rsidRDefault="00915810" w:rsidP="004E334A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Красноярского филиала ФГБНУ «ВНИРО» («НИИЭРВ») по типам водных объектов, тонны</w:t>
      </w:r>
      <w:r w:rsidR="004E334A" w:rsidRPr="004E334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W w:w="1502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1"/>
        <w:gridCol w:w="921"/>
        <w:gridCol w:w="921"/>
        <w:gridCol w:w="921"/>
        <w:gridCol w:w="922"/>
        <w:gridCol w:w="1134"/>
        <w:gridCol w:w="1063"/>
        <w:gridCol w:w="1098"/>
        <w:gridCol w:w="1099"/>
        <w:gridCol w:w="1134"/>
        <w:gridCol w:w="1134"/>
        <w:gridCol w:w="1134"/>
        <w:gridCol w:w="1134"/>
      </w:tblGrid>
      <w:tr w:rsidR="004E334A" w:rsidRPr="005B2B66" w:rsidTr="004E334A">
        <w:trPr>
          <w:trHeight w:val="43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водных биоресурсов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 Хакасия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Красноярский край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вдхр.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B7062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Стерлядь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3,607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3,637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3,607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3,637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4,95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5,72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6,15</w:t>
            </w:r>
          </w:p>
        </w:tc>
      </w:tr>
      <w:tr w:rsidR="004E334A" w:rsidRPr="005B2B66" w:rsidTr="004E334A">
        <w:trPr>
          <w:trHeight w:val="45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3,778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4,158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Гольцы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43,85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43,85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Нельма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2,401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2,731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2,731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Муксун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80,7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111,7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382,0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509,3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384,15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521,45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Чир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340,0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435,3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435,3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Сиг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374,0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35,23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609,23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201,05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375,05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Тугун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FitText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3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103,05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117,255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103,05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117,26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Омуль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Валёк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4E334A" w:rsidRPr="005B2B66" w:rsidTr="004E334A">
        <w:trPr>
          <w:trHeight w:val="4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ind w:left="-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3,30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10,595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334A" w:rsidRPr="003B7062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15,295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548,348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1185,328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117,725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1851,401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549,748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1188,628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128,32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1866,696</w:t>
            </w:r>
          </w:p>
        </w:tc>
      </w:tr>
    </w:tbl>
    <w:p w:rsidR="004E334A" w:rsidRPr="005B2B66" w:rsidRDefault="004E334A" w:rsidP="004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E334A" w:rsidRPr="005B2B66" w:rsidSect="004E334A">
          <w:pgSz w:w="16838" w:h="11906" w:orient="landscape"/>
          <w:pgMar w:top="1134" w:right="851" w:bottom="1134" w:left="1814" w:header="709" w:footer="709" w:gutter="0"/>
          <w:pgNumType w:start="215"/>
          <w:cols w:space="708"/>
          <w:docGrid w:linePitch="360"/>
        </w:sectPr>
      </w:pPr>
    </w:p>
    <w:p w:rsidR="004E334A" w:rsidRPr="007354F4" w:rsidRDefault="004E334A" w:rsidP="004968DA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4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ОДУ водных биоресурсов в 2023 г. по бассейнам рек, Республика Хакасия, тонны</w:t>
      </w:r>
    </w:p>
    <w:p w:rsidR="004E334A" w:rsidRPr="005B2B66" w:rsidRDefault="004E334A" w:rsidP="004E334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889" w:type="pct"/>
        <w:tblInd w:w="250" w:type="dxa"/>
        <w:tblLayout w:type="fixed"/>
        <w:tblLook w:val="04A0"/>
      </w:tblPr>
      <w:tblGrid>
        <w:gridCol w:w="1796"/>
        <w:gridCol w:w="1197"/>
        <w:gridCol w:w="1050"/>
        <w:gridCol w:w="1347"/>
        <w:gridCol w:w="1496"/>
        <w:gridCol w:w="1646"/>
        <w:gridCol w:w="1649"/>
        <w:gridCol w:w="1499"/>
        <w:gridCol w:w="2244"/>
        <w:gridCol w:w="1343"/>
      </w:tblGrid>
      <w:tr w:rsidR="004E334A" w:rsidRPr="005B2B66" w:rsidTr="004E334A">
        <w:trPr>
          <w:trHeight w:val="478"/>
        </w:trPr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Виды</w:t>
            </w:r>
          </w:p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водных </w:t>
            </w:r>
          </w:p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биоресурсов</w:t>
            </w:r>
          </w:p>
        </w:tc>
        <w:tc>
          <w:tcPr>
            <w:tcW w:w="274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Бассейн р. Енисея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бас.</w:t>
            </w:r>
          </w:p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р. Енисея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Бассейны </w:t>
            </w:r>
          </w:p>
          <w:p w:rsidR="004E334A" w:rsidRPr="005B2B66" w:rsidRDefault="004E334A" w:rsidP="004E334A">
            <w:pPr>
              <w:spacing w:after="0" w:line="240" w:lineRule="auto"/>
              <w:ind w:left="-188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рр. Чулым и Кеть</w:t>
            </w:r>
          </w:p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(бас. р. Оби)</w:t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  <w:p w:rsidR="00272B2B" w:rsidRDefault="00272B2B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</w:t>
            </w:r>
          </w:p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Хакасия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реки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С-Ш вдхр.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Майн. вдхр.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Красн. вдхр.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 вдхр.</w:t>
            </w:r>
          </w:p>
        </w:tc>
        <w:tc>
          <w:tcPr>
            <w:tcW w:w="4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озёра</w:t>
            </w: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Таймень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0,03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0,23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0,43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0,44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Ленок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0,38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0,38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Пелядь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11,15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12,15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Сиг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0,23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2,33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2,33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Тугун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0,005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0,005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0,005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4E334A" w:rsidRPr="005B2B66" w:rsidTr="004E334A">
        <w:trPr>
          <w:trHeight w:val="444"/>
        </w:trPr>
        <w:tc>
          <w:tcPr>
            <w:tcW w:w="5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5B2B66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B2B66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B7062" w:rsidRDefault="004E334A" w:rsidP="004E334A">
            <w:pPr>
              <w:spacing w:after="0" w:line="240" w:lineRule="auto"/>
              <w:ind w:left="-108" w:right="-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62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0,095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10,3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10,5</w:t>
            </w: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95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14,295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713F96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13F96">
              <w:rPr>
                <w:rFonts w:ascii="Times New Roman" w:eastAsia="Times New Roman" w:hAnsi="Times New Roman" w:cs="Times New Roman"/>
                <w:sz w:val="26"/>
                <w:szCs w:val="26"/>
              </w:rPr>
              <w:t>15,295</w:t>
            </w:r>
          </w:p>
        </w:tc>
      </w:tr>
    </w:tbl>
    <w:p w:rsidR="004E334A" w:rsidRPr="005B2B66" w:rsidRDefault="004E334A" w:rsidP="004E33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E334A" w:rsidRPr="007354F4" w:rsidRDefault="004E334A" w:rsidP="004968DA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4F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ОДУ водных биоресурсов в 2023 г. по бассейнам рек, Красноярский край, тонны</w:t>
      </w:r>
    </w:p>
    <w:p w:rsidR="004E334A" w:rsidRPr="005B2B66" w:rsidRDefault="004E334A" w:rsidP="004968DA">
      <w:pPr>
        <w:spacing w:after="0" w:line="312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22" w:type="pct"/>
        <w:tblLayout w:type="fixed"/>
        <w:tblLook w:val="04A0"/>
      </w:tblPr>
      <w:tblGrid>
        <w:gridCol w:w="1160"/>
        <w:gridCol w:w="746"/>
        <w:gridCol w:w="750"/>
        <w:gridCol w:w="445"/>
        <w:gridCol w:w="637"/>
        <w:gridCol w:w="709"/>
        <w:gridCol w:w="593"/>
        <w:gridCol w:w="828"/>
        <w:gridCol w:w="681"/>
        <w:gridCol w:w="903"/>
        <w:gridCol w:w="602"/>
        <w:gridCol w:w="602"/>
        <w:gridCol w:w="750"/>
        <w:gridCol w:w="753"/>
        <w:gridCol w:w="599"/>
        <w:gridCol w:w="599"/>
        <w:gridCol w:w="731"/>
        <w:gridCol w:w="932"/>
        <w:gridCol w:w="599"/>
        <w:gridCol w:w="599"/>
        <w:gridCol w:w="602"/>
        <w:gridCol w:w="863"/>
      </w:tblGrid>
      <w:tr w:rsidR="004E334A" w:rsidRPr="006018A7" w:rsidTr="004E334A">
        <w:trPr>
          <w:trHeight w:val="315"/>
        </w:trPr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Виды</w:t>
            </w:r>
          </w:p>
          <w:p w:rsidR="004E334A" w:rsidRPr="006018A7" w:rsidRDefault="004E334A" w:rsidP="004E334A">
            <w:pPr>
              <w:spacing w:after="0" w:line="240" w:lineRule="auto"/>
              <w:ind w:left="-57" w:right="-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водных биоресурсов</w:t>
            </w:r>
          </w:p>
        </w:tc>
        <w:tc>
          <w:tcPr>
            <w:tcW w:w="200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Бассейн р. Енисея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Бассейн р. Пясины*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74" w:right="-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Бассейн </w:t>
            </w:r>
          </w:p>
          <w:p w:rsidR="004E334A" w:rsidRPr="006018A7" w:rsidRDefault="004E334A" w:rsidP="004E334A">
            <w:pPr>
              <w:spacing w:after="0" w:line="240" w:lineRule="auto"/>
              <w:ind w:left="-174" w:right="-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оз.</w:t>
            </w:r>
          </w:p>
          <w:p w:rsidR="004E334A" w:rsidRPr="006018A7" w:rsidRDefault="004E334A" w:rsidP="004E334A">
            <w:pPr>
              <w:spacing w:after="0" w:line="240" w:lineRule="auto"/>
              <w:ind w:left="-174" w:right="-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Таймыр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Бассейн р. Хатанги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253" w:right="-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Бассейн</w:t>
            </w:r>
          </w:p>
          <w:p w:rsidR="004E334A" w:rsidRPr="006018A7" w:rsidRDefault="004E334A" w:rsidP="004E334A">
            <w:pPr>
              <w:spacing w:after="0" w:line="240" w:lineRule="auto"/>
              <w:ind w:left="-253" w:right="-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р. </w:t>
            </w:r>
          </w:p>
          <w:p w:rsidR="004E334A" w:rsidRPr="006018A7" w:rsidRDefault="004E334A" w:rsidP="004E334A">
            <w:pPr>
              <w:spacing w:after="0" w:line="240" w:lineRule="auto"/>
              <w:ind w:left="-253" w:right="-2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Вилюя</w:t>
            </w:r>
          </w:p>
        </w:tc>
        <w:tc>
          <w:tcPr>
            <w:tcW w:w="5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Бассейны рр. Чулым и Кеть</w:t>
            </w:r>
          </w:p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(бас. р. Оби)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Красн.</w:t>
            </w:r>
          </w:p>
          <w:p w:rsidR="004E334A" w:rsidRPr="006018A7" w:rsidRDefault="004E334A" w:rsidP="004E334A">
            <w:pPr>
              <w:spacing w:after="0" w:line="240" w:lineRule="auto"/>
              <w:ind w:left="-35" w:right="-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</w:tr>
      <w:tr w:rsidR="004E334A" w:rsidRPr="006018A7" w:rsidTr="004E334A">
        <w:trPr>
          <w:trHeight w:val="276"/>
        </w:trPr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реки</w:t>
            </w:r>
          </w:p>
        </w:tc>
        <w:tc>
          <w:tcPr>
            <w:tcW w:w="2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1241" w:type="pct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Водохранилища</w:t>
            </w:r>
          </w:p>
        </w:tc>
        <w:tc>
          <w:tcPr>
            <w:tcW w:w="28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Енисей</w:t>
            </w:r>
          </w:p>
        </w:tc>
        <w:tc>
          <w:tcPr>
            <w:tcW w:w="192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реки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23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2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  <w:p w:rsidR="004E334A" w:rsidRPr="006018A7" w:rsidRDefault="004E334A" w:rsidP="004E334A">
            <w:pPr>
              <w:spacing w:after="0" w:line="240" w:lineRule="auto"/>
              <w:ind w:left="-177" w:right="-2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Пясина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19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реки</w:t>
            </w:r>
          </w:p>
        </w:tc>
        <w:tc>
          <w:tcPr>
            <w:tcW w:w="19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23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  <w:p w:rsidR="004E334A" w:rsidRPr="006018A7" w:rsidRDefault="004E334A" w:rsidP="004E334A">
            <w:pPr>
              <w:spacing w:after="0" w:line="240" w:lineRule="auto"/>
              <w:ind w:left="-177" w:right="-19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Хатанга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19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реки</w:t>
            </w:r>
          </w:p>
        </w:tc>
        <w:tc>
          <w:tcPr>
            <w:tcW w:w="19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озёра</w:t>
            </w:r>
          </w:p>
        </w:tc>
        <w:tc>
          <w:tcPr>
            <w:tcW w:w="19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7" w:right="-2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  <w:p w:rsidR="004E334A" w:rsidRPr="006018A7" w:rsidRDefault="004E334A" w:rsidP="004E334A">
            <w:pPr>
              <w:spacing w:after="0" w:line="240" w:lineRule="auto"/>
              <w:ind w:left="-177" w:right="-2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Обь</w:t>
            </w:r>
          </w:p>
        </w:tc>
        <w:tc>
          <w:tcPr>
            <w:tcW w:w="27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E334A" w:rsidRPr="006018A7" w:rsidTr="004E334A">
        <w:trPr>
          <w:trHeight w:val="315"/>
        </w:trPr>
        <w:tc>
          <w:tcPr>
            <w:tcW w:w="3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4A" w:rsidRPr="006018A7" w:rsidRDefault="004E334A" w:rsidP="004E33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4A" w:rsidRPr="006018A7" w:rsidRDefault="004E334A" w:rsidP="004E334A">
            <w:pPr>
              <w:spacing w:after="0" w:line="240" w:lineRule="auto"/>
              <w:ind w:left="-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293" w:right="-25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С-Ш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E334A" w:rsidRDefault="004E334A" w:rsidP="004E334A">
            <w:pPr>
              <w:spacing w:after="0" w:line="240" w:lineRule="auto"/>
              <w:ind w:left="-109" w:right="-1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Майн-</w:t>
            </w:r>
          </w:p>
          <w:p w:rsidR="004E334A" w:rsidRPr="006018A7" w:rsidRDefault="004E334A" w:rsidP="004E334A">
            <w:pPr>
              <w:spacing w:after="0" w:line="240" w:lineRule="auto"/>
              <w:ind w:left="-109" w:right="-18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ое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Красн-</w:t>
            </w:r>
          </w:p>
          <w:p w:rsidR="004E334A" w:rsidRPr="006018A7" w:rsidRDefault="004E334A" w:rsidP="004E334A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ое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Курей-ское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71" w:right="-1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Хантай-ское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  <w:p w:rsidR="004E334A" w:rsidRPr="006018A7" w:rsidRDefault="004E334A" w:rsidP="004E334A">
            <w:pPr>
              <w:spacing w:after="0" w:line="240" w:lineRule="auto"/>
              <w:ind w:left="-107" w:right="-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вдхр.</w:t>
            </w:r>
          </w:p>
        </w:tc>
        <w:tc>
          <w:tcPr>
            <w:tcW w:w="28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46" w:right="-1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E334A" w:rsidRPr="006018A7" w:rsidTr="004E334A">
        <w:trPr>
          <w:trHeight w:val="315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Стерлядь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3,557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3,587</w:t>
            </w:r>
          </w:p>
        </w:tc>
        <w:tc>
          <w:tcPr>
            <w:tcW w:w="1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40" w:right="-4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3,637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Таймень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4,55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5,72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Ленок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3,29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0,008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3,578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3,778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Гольцы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11,25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16,5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43,75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Нельма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1,701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1,831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2,831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Муксун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11,0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70,0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70,0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111,7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Пелядь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81,3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411,3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60,0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36,0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509,3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Чир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40,00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190,3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90,0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25,0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80,0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435,3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Сиг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35,23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375,23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20,0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80,0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60,0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50,0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90,0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614,23</w:t>
            </w:r>
          </w:p>
        </w:tc>
      </w:tr>
      <w:tr w:rsidR="004E334A" w:rsidRPr="006018A7" w:rsidTr="004E334A">
        <w:trPr>
          <w:trHeight w:val="353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Тугун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110,005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4,05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117,255</w:t>
            </w:r>
          </w:p>
        </w:tc>
      </w:tr>
      <w:tr w:rsidR="004E334A" w:rsidRPr="006018A7" w:rsidTr="004E334A">
        <w:trPr>
          <w:trHeight w:val="315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Омуль</w:t>
            </w:r>
          </w:p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арктический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7,5</w:t>
            </w:r>
          </w:p>
        </w:tc>
      </w:tr>
      <w:tr w:rsidR="004E334A" w:rsidRPr="006018A7" w:rsidTr="004E334A">
        <w:trPr>
          <w:trHeight w:val="392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Валёк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1,4</w:t>
            </w:r>
          </w:p>
        </w:tc>
      </w:tr>
      <w:tr w:rsidR="004E334A" w:rsidRPr="006018A7" w:rsidTr="004E334A">
        <w:trPr>
          <w:trHeight w:val="392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4A" w:rsidRPr="006018A7" w:rsidRDefault="004E334A" w:rsidP="004E334A">
            <w:pPr>
              <w:spacing w:after="0" w:line="240" w:lineRule="auto"/>
              <w:ind w:left="-57" w:right="-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2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45" w:right="-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326,348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249" w:right="-26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670,328</w:t>
            </w: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2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34A" w:rsidRPr="006018A7" w:rsidRDefault="004E334A" w:rsidP="004E334A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0,095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50,31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60,2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D53">
              <w:rPr>
                <w:rFonts w:ascii="Times New Roman" w:eastAsia="Times New Roman" w:hAnsi="Times New Roman" w:cs="Times New Roman"/>
                <w:sz w:val="18"/>
                <w:szCs w:val="18"/>
              </w:rPr>
              <w:t>117,725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DC2D53" w:rsidRDefault="004E334A" w:rsidP="004E334A">
            <w:pPr>
              <w:spacing w:after="0" w:line="240" w:lineRule="auto"/>
              <w:ind w:left="-96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2D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1114,401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113" w:right="-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71,45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185,6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212" w:right="-1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257,05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146,2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150,4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176,7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hAnsi="Times New Roman" w:cs="Times New Roman"/>
                <w:sz w:val="18"/>
                <w:szCs w:val="18"/>
              </w:rPr>
              <w:t>327,1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5,5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6018A7" w:rsidRDefault="004E334A" w:rsidP="004E334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018A7">
              <w:rPr>
                <w:rFonts w:ascii="Times New Roman" w:eastAsia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334A" w:rsidRPr="00345912" w:rsidRDefault="004E334A" w:rsidP="004E334A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45912">
              <w:rPr>
                <w:rFonts w:ascii="Times New Roman" w:eastAsia="Times New Roman" w:hAnsi="Times New Roman" w:cs="Times New Roman"/>
                <w:sz w:val="18"/>
                <w:szCs w:val="18"/>
              </w:rPr>
              <w:t>1851,401</w:t>
            </w:r>
          </w:p>
        </w:tc>
      </w:tr>
    </w:tbl>
    <w:p w:rsidR="004E334A" w:rsidRPr="005B2B66" w:rsidRDefault="004E334A" w:rsidP="004E33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34A" w:rsidRPr="005B2B66" w:rsidRDefault="004E334A" w:rsidP="004E33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2B66">
        <w:rPr>
          <w:rFonts w:ascii="Times New Roman" w:eastAsia="Times New Roman" w:hAnsi="Times New Roman" w:cs="Times New Roman"/>
          <w:sz w:val="24"/>
          <w:szCs w:val="24"/>
        </w:rPr>
        <w:t>Примечания</w:t>
      </w:r>
    </w:p>
    <w:p w:rsidR="004E334A" w:rsidRPr="00E8214A" w:rsidRDefault="004E334A" w:rsidP="004E33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14A">
        <w:rPr>
          <w:rFonts w:ascii="Times New Roman" w:eastAsia="Times New Roman" w:hAnsi="Times New Roman" w:cs="Times New Roman"/>
          <w:sz w:val="24"/>
          <w:szCs w:val="24"/>
        </w:rPr>
        <w:t>* - ОДУ определен для всех видов рыболовства в реках и озерах бассейна р. Пясина, за исключением рек Пясина, Далдыкан и Амбарная и озера Пясино, в которых объемы ОДУ определены только для осуществления рыболовства в научно-исследовательских целях</w:t>
      </w:r>
    </w:p>
    <w:p w:rsidR="004E334A" w:rsidRPr="00E8214A" w:rsidRDefault="004E334A" w:rsidP="004E334A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214A" w:rsidRPr="00E8214A" w:rsidRDefault="00E8214A" w:rsidP="004E334A">
      <w:pPr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2B66" w:rsidRPr="005B2B66" w:rsidRDefault="005B2B66" w:rsidP="005B2B66">
      <w:pPr>
        <w:tabs>
          <w:tab w:val="left" w:pos="10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B2B66" w:rsidRPr="005B2B66" w:rsidSect="00F61ACE">
          <w:pgSz w:w="16838" w:h="11906" w:orient="landscape"/>
          <w:pgMar w:top="1134" w:right="720" w:bottom="1134" w:left="720" w:header="709" w:footer="709" w:gutter="0"/>
          <w:pgNumType w:start="215"/>
          <w:cols w:space="708"/>
          <w:docGrid w:linePitch="360"/>
        </w:sectPr>
      </w:pPr>
    </w:p>
    <w:p w:rsidR="00BB244E" w:rsidRPr="0058787B" w:rsidRDefault="00BB244E" w:rsidP="00BB244E">
      <w:pPr>
        <w:pStyle w:val="ConsPlusNorma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97485">
        <w:rPr>
          <w:rFonts w:ascii="Times New Roman" w:hAnsi="Times New Roman" w:cs="Times New Roman"/>
          <w:b/>
          <w:caps/>
          <w:sz w:val="24"/>
          <w:szCs w:val="24"/>
        </w:rPr>
        <w:lastRenderedPageBreak/>
        <w:t>Материалы оценки воздействия на окружающую среду</w:t>
      </w:r>
    </w:p>
    <w:p w:rsid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DB7" w:rsidRPr="0058787B" w:rsidRDefault="00E05DB7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920CE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>1. Общие сведения о планируемой (намечаемой) хозяйственной и иной деятельности:</w:t>
      </w:r>
    </w:p>
    <w:p w:rsidR="00BB244E" w:rsidRPr="00920CE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>1.1. Сведения о заказчике планируемой (намечаемой) хозяйственной и иной деятельности с указанием наименования юридического лица, юридического и (или) фактического адреса, телефона, адреса электронной почты (при наличии), факса (при наличии), фамилии, имени, отчества (при наличии) индивидуального предпринимателя, телефона и адреса электронной почты (при наличии) контактного лица.</w:t>
      </w:r>
    </w:p>
    <w:p w:rsidR="00BB244E" w:rsidRPr="001203D4" w:rsidRDefault="00BB244E" w:rsidP="00E05D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03D4">
        <w:rPr>
          <w:rFonts w:ascii="Times New Roman" w:hAnsi="Times New Roman"/>
          <w:sz w:val="24"/>
          <w:szCs w:val="24"/>
        </w:rPr>
        <w:t xml:space="preserve">Заказчик: Федеральное агентство по рыболовству: </w:t>
      </w:r>
    </w:p>
    <w:p w:rsidR="00BB244E" w:rsidRPr="001203D4" w:rsidRDefault="00BB244E" w:rsidP="00E05DB7">
      <w:pPr>
        <w:pStyle w:val="17"/>
        <w:spacing w:after="0"/>
        <w:jc w:val="both"/>
        <w:rPr>
          <w:sz w:val="24"/>
          <w:szCs w:val="24"/>
          <w:lang w:bidi="en-US"/>
        </w:rPr>
      </w:pPr>
      <w:r w:rsidRPr="001203D4">
        <w:rPr>
          <w:sz w:val="24"/>
          <w:szCs w:val="24"/>
        </w:rPr>
        <w:t xml:space="preserve">ОГРН </w:t>
      </w:r>
      <w:r w:rsidRPr="001203D4">
        <w:rPr>
          <w:sz w:val="24"/>
          <w:szCs w:val="24"/>
          <w:lang w:bidi="ru-RU"/>
        </w:rPr>
        <w:t xml:space="preserve">1087746846274, ИНН 7702679523; 107996, г. Москва, Рождественский бульвар, д. 12; тел.: </w:t>
      </w:r>
      <w:r w:rsidRPr="001203D4">
        <w:rPr>
          <w:sz w:val="24"/>
          <w:szCs w:val="24"/>
        </w:rPr>
        <w:t>+7 (495) 6287700</w:t>
      </w:r>
      <w:r w:rsidRPr="001203D4">
        <w:rPr>
          <w:sz w:val="24"/>
          <w:szCs w:val="24"/>
          <w:lang w:bidi="ru-RU"/>
        </w:rPr>
        <w:t xml:space="preserve">, </w:t>
      </w:r>
      <w:r w:rsidRPr="001203D4">
        <w:rPr>
          <w:sz w:val="24"/>
          <w:szCs w:val="24"/>
        </w:rPr>
        <w:t xml:space="preserve">факс: +7 (495) 9870554, +7 (495) 6281904, </w:t>
      </w:r>
      <w:r w:rsidRPr="001203D4">
        <w:rPr>
          <w:sz w:val="24"/>
          <w:szCs w:val="24"/>
          <w:lang w:val="en-US" w:bidi="en-US"/>
        </w:rPr>
        <w:t>e</w:t>
      </w:r>
      <w:r w:rsidRPr="001203D4">
        <w:rPr>
          <w:sz w:val="24"/>
          <w:szCs w:val="24"/>
          <w:lang w:bidi="en-US"/>
        </w:rPr>
        <w:t>-</w:t>
      </w:r>
      <w:r w:rsidRPr="001203D4">
        <w:rPr>
          <w:sz w:val="24"/>
          <w:szCs w:val="24"/>
          <w:lang w:val="en-US" w:bidi="en-US"/>
        </w:rPr>
        <w:t>mail</w:t>
      </w:r>
      <w:r w:rsidRPr="001203D4">
        <w:rPr>
          <w:sz w:val="24"/>
          <w:szCs w:val="24"/>
          <w:lang w:bidi="en-US"/>
        </w:rPr>
        <w:t xml:space="preserve">: </w:t>
      </w:r>
      <w:hyperlink r:id="rId10" w:history="1">
        <w:r w:rsidRPr="001203D4">
          <w:rPr>
            <w:sz w:val="24"/>
            <w:szCs w:val="24"/>
            <w:lang w:val="en-US" w:bidi="en-US"/>
          </w:rPr>
          <w:t>harbour</w:t>
        </w:r>
        <w:r w:rsidRPr="001203D4">
          <w:rPr>
            <w:sz w:val="24"/>
            <w:szCs w:val="24"/>
            <w:lang w:bidi="en-US"/>
          </w:rPr>
          <w:t>@</w:t>
        </w:r>
        <w:r w:rsidRPr="001203D4">
          <w:rPr>
            <w:sz w:val="24"/>
            <w:szCs w:val="24"/>
            <w:lang w:val="en-US" w:bidi="en-US"/>
          </w:rPr>
          <w:t>fishcom</w:t>
        </w:r>
        <w:r w:rsidRPr="001203D4">
          <w:rPr>
            <w:sz w:val="24"/>
            <w:szCs w:val="24"/>
            <w:lang w:bidi="en-US"/>
          </w:rPr>
          <w:t>.</w:t>
        </w:r>
        <w:r w:rsidRPr="001203D4">
          <w:rPr>
            <w:sz w:val="24"/>
            <w:szCs w:val="24"/>
            <w:lang w:val="en-US" w:bidi="en-US"/>
          </w:rPr>
          <w:t>ru</w:t>
        </w:r>
      </w:hyperlink>
      <w:r w:rsidRPr="001203D4">
        <w:rPr>
          <w:sz w:val="24"/>
          <w:szCs w:val="24"/>
          <w:lang w:bidi="en-US"/>
        </w:rPr>
        <w:t>.</w:t>
      </w:r>
    </w:p>
    <w:p w:rsidR="00BB244E" w:rsidRPr="001203D4" w:rsidRDefault="00BB244E" w:rsidP="00E05DB7">
      <w:pPr>
        <w:pStyle w:val="afb"/>
        <w:shd w:val="clear" w:color="auto" w:fill="FFFFFF"/>
        <w:spacing w:before="0" w:beforeAutospacing="0" w:after="0" w:afterAutospacing="0"/>
        <w:ind w:firstLine="708"/>
        <w:jc w:val="both"/>
        <w:rPr>
          <w:u w:val="single"/>
        </w:rPr>
      </w:pPr>
      <w:r w:rsidRPr="001203D4">
        <w:t xml:space="preserve">Представитель заказчика – Енисейское территориальное управление Федерального агентства по рыболовству: </w:t>
      </w:r>
      <w:r w:rsidRPr="001203D4">
        <w:rPr>
          <w:iCs/>
        </w:rPr>
        <w:t>ОГРН</w:t>
      </w:r>
      <w:r w:rsidRPr="001203D4">
        <w:rPr>
          <w:rStyle w:val="apple-converted-space"/>
        </w:rPr>
        <w:t> </w:t>
      </w:r>
      <w:r w:rsidRPr="001203D4">
        <w:t xml:space="preserve">1072466005864, </w:t>
      </w:r>
      <w:r w:rsidRPr="001203D4">
        <w:rPr>
          <w:iCs/>
        </w:rPr>
        <w:t>ИНН</w:t>
      </w:r>
      <w:r w:rsidRPr="001203D4">
        <w:rPr>
          <w:rStyle w:val="apple-converted-space"/>
        </w:rPr>
        <w:t> </w:t>
      </w:r>
      <w:r w:rsidRPr="001203D4">
        <w:t xml:space="preserve">2466149610, </w:t>
      </w:r>
      <w:r w:rsidRPr="001203D4">
        <w:rPr>
          <w:color w:val="333333"/>
          <w:shd w:val="clear" w:color="auto" w:fill="FFFFFF"/>
        </w:rPr>
        <w:t>660064, г. Красноярск, остров Отдыха, 19, тел. +7(391) 236-57-27, адрес электронной почты</w:t>
      </w:r>
      <w:r w:rsidRPr="001203D4">
        <w:rPr>
          <w:shd w:val="clear" w:color="auto" w:fill="FFFFFF"/>
        </w:rPr>
        <w:t xml:space="preserve">: </w:t>
      </w:r>
      <w:hyperlink r:id="rId11" w:history="1">
        <w:r w:rsidRPr="001203D4">
          <w:rPr>
            <w:rStyle w:val="afa"/>
            <w:shd w:val="clear" w:color="auto" w:fill="FFFFFF"/>
          </w:rPr>
          <w:t>krasnoyarsk@enisey-rosfish.ru</w:t>
        </w:r>
      </w:hyperlink>
      <w:r w:rsidRPr="001203D4">
        <w:rPr>
          <w:color w:val="333333"/>
          <w:shd w:val="clear" w:color="auto" w:fill="FFFFFF"/>
        </w:rPr>
        <w:t xml:space="preserve">. Контактное лицо: </w:t>
      </w:r>
      <w:r w:rsidRPr="001203D4">
        <w:t>Ногина Ирина Михайловна тел. +7 (391)-236-37-72, адрес электронной почты: nogina@enisey-rosfish.ru.</w:t>
      </w:r>
    </w:p>
    <w:p w:rsidR="00BB244E" w:rsidRPr="00920CE5" w:rsidRDefault="00BB244E" w:rsidP="00E05DB7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1203D4">
        <w:rPr>
          <w:u w:val="single"/>
        </w:rPr>
        <w:t>Исполнитель</w:t>
      </w:r>
      <w:r w:rsidRPr="001203D4">
        <w:t>: ФГБНУ «ВНИРО», 107140, г. Москва, ул. Верхняя Красносельская, д. 17, тел.: +7(499) 264-9387,</w:t>
      </w:r>
      <w:r w:rsidRPr="001203D4">
        <w:rPr>
          <w:color w:val="000000"/>
        </w:rPr>
        <w:t xml:space="preserve"> ФГБНУ «ВНИРО» (Красноярский филиал)) </w:t>
      </w:r>
      <w:r w:rsidRPr="001203D4">
        <w:t xml:space="preserve"> 660049, </w:t>
      </w:r>
      <w:r w:rsidRPr="001203D4">
        <w:rPr>
          <w:bCs/>
        </w:rPr>
        <w:t>г. Красноярск</w:t>
      </w:r>
      <w:r w:rsidRPr="001203D4">
        <w:t xml:space="preserve">, ул. Парижской Коммуны, д. 33, ИНН 7708245723, ОГРН 1157746053431, тел. +7 (391)-227-23-48, адрес электронной почты: </w:t>
      </w:r>
      <w:hyperlink r:id="rId12" w:history="1">
        <w:r w:rsidRPr="001203D4">
          <w:rPr>
            <w:rStyle w:val="afa"/>
            <w:lang w:val="en-US"/>
          </w:rPr>
          <w:t>niierv</w:t>
        </w:r>
        <w:r w:rsidRPr="001203D4">
          <w:rPr>
            <w:rStyle w:val="afa"/>
          </w:rPr>
          <w:t>@</w:t>
        </w:r>
        <w:r w:rsidRPr="001203D4">
          <w:rPr>
            <w:rStyle w:val="afa"/>
            <w:lang w:val="en-US"/>
          </w:rPr>
          <w:t>vniro</w:t>
        </w:r>
        <w:r w:rsidRPr="001203D4">
          <w:rPr>
            <w:rStyle w:val="afa"/>
          </w:rPr>
          <w:t>.</w:t>
        </w:r>
        <w:r w:rsidRPr="001203D4">
          <w:rPr>
            <w:rStyle w:val="afa"/>
            <w:lang w:val="en-US"/>
          </w:rPr>
          <w:t>ru</w:t>
        </w:r>
      </w:hyperlink>
      <w:r w:rsidRPr="001203D4">
        <w:t xml:space="preserve">. </w:t>
      </w:r>
      <w:r w:rsidRPr="001203D4">
        <w:rPr>
          <w:color w:val="333333"/>
          <w:shd w:val="clear" w:color="auto" w:fill="FFFFFF"/>
        </w:rPr>
        <w:t xml:space="preserve">Контактное лицо: </w:t>
      </w:r>
      <w:r w:rsidRPr="001203D4">
        <w:t>Яблоков Никита Олегович тел. +7 (391)-227-06-06, адрес электронной почты: evilapple@mail.ru.</w:t>
      </w:r>
    </w:p>
    <w:p w:rsidR="00BB244E" w:rsidRPr="00920CE5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</w:p>
    <w:p w:rsidR="00BB244E" w:rsidRPr="00920CE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 xml:space="preserve">1.2. Наименование планируемой (намечаемой) хозяйственной и иной деятельности и планируемое место ее реализации. </w:t>
      </w:r>
    </w:p>
    <w:p w:rsidR="00BB244E" w:rsidRPr="00920CE5" w:rsidRDefault="00BB244E" w:rsidP="00BB244E">
      <w:pPr>
        <w:pStyle w:val="af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203D4">
        <w:rPr>
          <w:rFonts w:ascii="Times New Roman" w:hAnsi="Times New Roman"/>
          <w:sz w:val="24"/>
          <w:szCs w:val="24"/>
        </w:rPr>
        <w:t>Обоснование объемов общего допустимого улова (далее – ОДУ) водных биологических ресурсов (в соответствии с документацией «Материалы, обосновывающие общие допустимые уловы во внутренних водах Красноярского края и Республики Хакасия, за исключением внутренних морских вод, на 2023 г. (с оценкой воздействия на окружающую среду)» (далее – Материалы ОДУ).</w:t>
      </w:r>
    </w:p>
    <w:p w:rsidR="00BB244E" w:rsidRPr="00920CE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920CE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>1.3. Цель и необходимость реализации планируемой (намечаемой) хозяйственной и иной деятельности.</w:t>
      </w:r>
    </w:p>
    <w:p w:rsidR="00BB244E" w:rsidRPr="00920CE5" w:rsidRDefault="00BB244E" w:rsidP="00BB244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4C06">
        <w:rPr>
          <w:rFonts w:ascii="Times New Roman" w:eastAsia="Times New Roman" w:hAnsi="Times New Roman" w:cs="Times New Roman"/>
          <w:sz w:val="24"/>
          <w:szCs w:val="24"/>
        </w:rPr>
        <w:t xml:space="preserve">Цель намечаемой деятельности — </w:t>
      </w:r>
      <w:bookmarkStart w:id="0" w:name="P85"/>
      <w:bookmarkEnd w:id="0"/>
      <w:r w:rsidRPr="007F4C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регулирование добычи (вылова) водных биологических ресурсов в соответствии с обоснованиями общего допустимого улова </w:t>
      </w:r>
      <w:r w:rsidRPr="007F4C06">
        <w:rPr>
          <w:rFonts w:ascii="Times New Roman" w:hAnsi="Times New Roman" w:cs="Times New Roman"/>
          <w:color w:val="000000"/>
          <w:sz w:val="24"/>
          <w:szCs w:val="24"/>
        </w:rPr>
        <w:t>во внутренних водах Красноярского края и Республики Хакасия, за исключением внутренних морских вод, на 2023 год</w:t>
      </w:r>
      <w:r w:rsidRPr="007F4C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(Федеральный закон от 20.12.2004 № 166-ФЗ «О рыболовстве и сохранении водных биологических ресурсов») (Западно-Сибирский рыбохозяйственный бассейн) с учетом экологических аспектов воздействия на окружающую среду.</w:t>
      </w:r>
    </w:p>
    <w:p w:rsidR="00BB244E" w:rsidRPr="00920CE5" w:rsidRDefault="00BB244E" w:rsidP="00BB244E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244E" w:rsidRPr="0058787B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>1.4.</w:t>
      </w:r>
      <w:r w:rsidRPr="00F97485">
        <w:rPr>
          <w:rFonts w:ascii="Times New Roman" w:hAnsi="Times New Roman" w:cs="Times New Roman"/>
          <w:i/>
          <w:sz w:val="24"/>
          <w:szCs w:val="24"/>
        </w:rPr>
        <w:t xml:space="preserve"> Описание планируемой (намечаемой) хозяйственной и иной деятельности, включая альтернативные варианты достижения цели планируемой (намечаемой) хозяйственной и иной деятельности (технические и технологические решения, возможные альтернативы мест ее реализации, иные варианты реализации планируемой (намечаемой) хозяйственной и иной деятельности в пределах полномочий заказчика), а также возможность отказа от деятельности.</w:t>
      </w:r>
    </w:p>
    <w:p w:rsidR="00BB244E" w:rsidRPr="00B73A58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A58">
        <w:rPr>
          <w:rFonts w:ascii="Times New Roman" w:hAnsi="Times New Roman" w:cs="Times New Roman"/>
          <w:sz w:val="24"/>
          <w:szCs w:val="24"/>
        </w:rPr>
        <w:t xml:space="preserve">Намечаемая деятельность, с целью регулирования рыболовства, заключается в обосновании ОДУ водных биологических ресурсов </w:t>
      </w:r>
      <w:r w:rsidRPr="00B73A58">
        <w:rPr>
          <w:rFonts w:ascii="Times New Roman" w:hAnsi="Times New Roman" w:cs="Times New Roman"/>
          <w:color w:val="000000"/>
          <w:sz w:val="24"/>
          <w:szCs w:val="24"/>
        </w:rPr>
        <w:t>во внутренних водах Красноярского края и Республики Хакасия, за исключением внутренних морских вод, на 2023 год</w:t>
      </w:r>
      <w:r w:rsidRPr="00B73A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lastRenderedPageBreak/>
        <w:t>Виды водных биологических ресурсов, в отношении которых устанавливается общий допустимый улов, определяется в соответствии с приказом Минсельхоза России от 08.09.2021 г. № 618 «Об утверждении перечня видов водных биологических ресурсов, в отношении которых устанавливается общий допустимый улов», зарегистрированного Минюстом России 15.10.2021 г. (регистрационный № 65432).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iCs/>
          <w:sz w:val="24"/>
          <w:szCs w:val="24"/>
        </w:rPr>
        <w:t>Альтернативные варианты</w:t>
      </w:r>
      <w:r w:rsidRPr="00E51F15">
        <w:rPr>
          <w:rFonts w:ascii="Times New Roman" w:hAnsi="Times New Roman" w:cs="Times New Roman"/>
          <w:sz w:val="24"/>
          <w:szCs w:val="24"/>
        </w:rPr>
        <w:t xml:space="preserve"> не рассматривались ввиду особенностей определения общего допустимого улова водных биологических ресурсов, установленных ст. 21, 28, 42 Федерального закона  от 20.12.2004 №166-ФЗ «О рыболовстве и сохранении водных биологических ресурсов», постановлением Правительства Российской Федерации от 25.06.2009 №531 «Об определении  и утверждении общего допустимого улова водных биологических ресурсов  «Об определении и утверждении общего допустимого улова водных биологических ресурсов и его изменений». 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соответствии с ч. 12 ст. 1 Федерального закона от 20 декабря 2004 г. № 166-ФЗ «О рыболовстве и сохранении водных биологических ресурсов» общий допустимый улов водных биологических ресурсов – научно обоснованная величина годовой добычи (вылова) водных биоресурсов конкретного вида в определенных районах, установленная с учетом особенностей данного вида. При этом иные определения общего допустимого улова законодательством не предусмотрены.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от 25 июня 2009 г. № 531 «Об определении и утверждении общего допустимого улова и внесении в него изменений» Федеральное агентство по рыболовству совместно с подведомственной научной организацией ФГБНУ «ВНИРО» подготавливает материалы обосновывающие общий допустимый улов (далее – материалы ОДУ) для субъектов Российской Федерации и ФГБНУ «ВНИРО» направляет их на государственную экологическую экспертизу.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соответствии с вышеуказанными законодательными документами материалы ОДУ обосновывают исключительно величину годовой добычи (вылова) водных биологических ресурсов, выраженную в тоннах или в штуках. Обоснование иных величин применительно к рыболовству, как виду деятельности в материалах ОДУ законодательством не предусмотрено. При этом объектом государственной экологической экспертизы являются, по сути, основания и расчеты объемов изъятия видов водных биоресурсов из среды обитания и то, каким образом объемы изъятия повлияют на состояние вида водного биоресурса в районе обитания (единицы запаса).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Альтернативным вариантом научно обоснованного изъятия водных биоресурсов является полный запрет рыболовства, установленный Минсельхозом России в отношении конкретного вида водного биоресурса в конкретном районе. Однако в таком случае ОДУ вообще не разрабатывается.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Вместе с тем, уполномоченными государственными органами власти ежегодно общий допустимый улов водных биоресурсов должен быть установлен и распределен между пользователями.</w:t>
      </w:r>
    </w:p>
    <w:p w:rsidR="00BB244E" w:rsidRPr="0058787B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связи с указанным альтернативный (нулевой) вариант в материалах ОВОС применительно к материалам ОДУ считаем не соответствующим законодательству в области рыболовства.</w:t>
      </w:r>
    </w:p>
    <w:p w:rsidR="00BB244E" w:rsidRPr="0058787B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F9748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CE5">
        <w:rPr>
          <w:rFonts w:ascii="Times New Roman" w:hAnsi="Times New Roman" w:cs="Times New Roman"/>
          <w:i/>
          <w:sz w:val="24"/>
          <w:szCs w:val="24"/>
        </w:rPr>
        <w:t>1.5.</w:t>
      </w:r>
      <w:r w:rsidRPr="00F97485">
        <w:rPr>
          <w:rFonts w:ascii="Times New Roman" w:hAnsi="Times New Roman" w:cs="Times New Roman"/>
          <w:sz w:val="24"/>
          <w:szCs w:val="24"/>
        </w:rPr>
        <w:t xml:space="preserve"> </w:t>
      </w:r>
      <w:r w:rsidRPr="00F97485">
        <w:rPr>
          <w:rFonts w:ascii="Times New Roman" w:hAnsi="Times New Roman" w:cs="Times New Roman"/>
          <w:i/>
          <w:sz w:val="24"/>
          <w:szCs w:val="24"/>
        </w:rPr>
        <w:t>Техническое задание не предусмотрено</w:t>
      </w:r>
    </w:p>
    <w:p w:rsidR="00BB244E" w:rsidRPr="00F9748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244E" w:rsidRPr="00F97485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7485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F97485">
        <w:rPr>
          <w:rFonts w:ascii="Times New Roman" w:hAnsi="Times New Roman" w:cs="Times New Roman"/>
          <w:i/>
          <w:sz w:val="24"/>
          <w:szCs w:val="24"/>
        </w:rPr>
        <w:t xml:space="preserve"> Описание возможных видов воздействия на окружающую среду планируемой (намечаемой) хозяйственной и иной деятельности по альтернативным вариантам.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93"/>
      <w:bookmarkStart w:id="2" w:name="P94"/>
      <w:bookmarkEnd w:id="1"/>
      <w:bookmarkEnd w:id="2"/>
      <w:r w:rsidRPr="00E51F15">
        <w:rPr>
          <w:rFonts w:ascii="Times New Roman" w:hAnsi="Times New Roman" w:cs="Times New Roman"/>
          <w:sz w:val="24"/>
          <w:szCs w:val="24"/>
        </w:rPr>
        <w:t xml:space="preserve">Намечаемая деятельность (обоснование ОДУ с целью регулирования  добычи (вылова) водных биоресурсов) сама по себе не наносит ущерб окружающей среде.  В свою очередь добыча (вылов) водных биоресурсов в объемах, не превышающих научно обоснованную величину ОДУ, при соблюдении Правил рыболовства не наносит ущерб </w:t>
      </w:r>
      <w:r w:rsidRPr="00E51F15">
        <w:rPr>
          <w:rFonts w:ascii="Times New Roman" w:hAnsi="Times New Roman" w:cs="Times New Roman"/>
          <w:sz w:val="24"/>
          <w:szCs w:val="24"/>
        </w:rPr>
        <w:lastRenderedPageBreak/>
        <w:t>популяциям, не препятствует нормальному воспроизводству и не оказывает негативное воздействие на окружающую среду и водные биологические ресурсы.</w:t>
      </w:r>
    </w:p>
    <w:p w:rsidR="00BB244E" w:rsidRPr="0058787B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то же время альтернативный («нулевой») вариант – не рассматривается, как не соответствующий законодательству в области рыболовства.</w:t>
      </w:r>
    </w:p>
    <w:p w:rsidR="00BB244E" w:rsidRPr="0058787B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F9748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7485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F97485">
        <w:rPr>
          <w:rFonts w:ascii="Times New Roman" w:hAnsi="Times New Roman" w:cs="Times New Roman"/>
          <w:i/>
          <w:sz w:val="24"/>
          <w:szCs w:val="24"/>
        </w:rPr>
        <w:t xml:space="preserve"> Описание окружающей среды, которая может быть затронут(а) планируемой (намечаемой) хозяйственной и иной деятельностью в результате ее реализации (физико-географические, природно-климатические, геологические и гидрогеологические, гидрографические, почвенные условия, характеристика растительного и животного мира, качество окружающей среды, в том числе атмосферного воздуха, водных объектов, почв), включая социально-экономическую ситуацию района реализации планируемой (намечаемой) хозяйственной и иной деятельности.</w:t>
      </w:r>
    </w:p>
    <w:p w:rsidR="00BB244E" w:rsidRPr="00E51F15" w:rsidRDefault="00BB244E" w:rsidP="00BB244E">
      <w:pPr>
        <w:tabs>
          <w:tab w:val="num" w:pos="33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4"/>
          <w:szCs w:val="24"/>
        </w:rPr>
      </w:pPr>
      <w:bookmarkStart w:id="3" w:name="P86"/>
      <w:bookmarkEnd w:id="3"/>
      <w:r w:rsidRPr="00E51F15">
        <w:rPr>
          <w:rFonts w:ascii="Times New Roman" w:hAnsi="Times New Roman" w:cs="Times New Roman"/>
          <w:sz w:val="24"/>
          <w:szCs w:val="24"/>
        </w:rPr>
        <w:t>В соответствии с Приложением 2 к приказу Федерального агентства по рыболовству от 6 февраля 2015 г. № 104 в зону ответственности Красноярского филиала ФГБНУ «ВНИРО» («НИИЭРВ») за разработку прогноза общих допустимых уловов водных биоресурсов входят водные объекты Красноярского края, Республики Хакасия и Республики Тыва.</w:t>
      </w:r>
    </w:p>
    <w:p w:rsidR="00BB244E" w:rsidRPr="00E51F15" w:rsidRDefault="00BB244E" w:rsidP="00BB24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На территории Республики Тыва в соответствии с приказом Минсельхоза России № 618 от 8.09.2021 г.</w:t>
      </w:r>
      <w:r w:rsidRPr="00E51F15">
        <w:rPr>
          <w:rFonts w:ascii="Times New Roman" w:hAnsi="Times New Roman" w:cs="Times New Roman"/>
          <w:spacing w:val="-20"/>
          <w:sz w:val="24"/>
          <w:szCs w:val="24"/>
        </w:rPr>
        <w:t xml:space="preserve"> «Об</w:t>
      </w:r>
      <w:r w:rsidRPr="00E51F15">
        <w:rPr>
          <w:rFonts w:ascii="Times New Roman" w:hAnsi="Times New Roman" w:cs="Times New Roman"/>
          <w:sz w:val="24"/>
          <w:szCs w:val="24"/>
        </w:rPr>
        <w:t xml:space="preserve"> утверждении Перечня видов водных биологических ресурсов, в отношении которых устанавливается общий допустимый улов водных биологических ресурсов», виды, в отношении которых устанавливается ОДУ, с 2021 г. исключены из перечня. </w:t>
      </w:r>
    </w:p>
    <w:p w:rsidR="00BB244E" w:rsidRPr="00E51F15" w:rsidRDefault="00BB244E" w:rsidP="00BB244E">
      <w:pPr>
        <w:tabs>
          <w:tab w:val="num" w:pos="33"/>
        </w:tabs>
        <w:autoSpaceDE w:val="0"/>
        <w:autoSpaceDN w:val="0"/>
        <w:adjustRightInd w:val="0"/>
        <w:spacing w:after="0" w:line="240" w:lineRule="auto"/>
        <w:ind w:left="34" w:firstLine="675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В связи с этим объёмы ОДУ на 2023 г. в зоне ответственности Красноярского филиала ФГБНУ «ВНИРО» («НИИЭРВ») определены для водных объектов Красноярского края и Республики Хакасия, входящих в Енисейский рыбохозяйственный район Западно-Сибирского рыбохозяйственного бассейна (приказ Минсельхоза России от 30.10.2020 г. № 646), по бассейнам рек: Енисей, Пясина, Таймыра, Хатанга, Вилюй (бассейн р. Лены), Обь (Чулым и Кеть) и водохранилищам: Саяно-Шушенское, Майнское, Красноярское, Курейское, Хантайское.</w:t>
      </w:r>
    </w:p>
    <w:p w:rsidR="00BB244E" w:rsidRPr="00E51F15" w:rsidRDefault="00BB244E" w:rsidP="00BB24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Промысловая ихтиофауна пресноводных водных объектов Красноярского края и Республики Хакасия представлена 30 видами рыб. Из них к видам водных биоресурсов, в отношении которых устанавливается ОДУ (приказ Минсельхоза России № 618 от 8.09.2021 г.) относится 12 видов (стерлядь, гольцы, таймень, ленок, сиг, омуль арктический, муксун, тугун, чир, пелядь, нельма, валёк).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Ежегодно Красноярским филиалом ФГБНУ «ВНИРО» («НИИЭРВ») в рамках Государственного задания проводятся ихтиологические исследования </w:t>
      </w:r>
      <w:r w:rsidRPr="00E51F15">
        <w:rPr>
          <w:rFonts w:ascii="Times New Roman" w:eastAsia="Times New Roman" w:hAnsi="Times New Roman" w:cs="Times New Roman"/>
          <w:spacing w:val="-6"/>
          <w:sz w:val="24"/>
          <w:szCs w:val="24"/>
        </w:rPr>
        <w:t>на магистральных водоёмах, где сконцентрирован основной промысел (рисунок 1).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 В 2021 г. проведен 21 экспедиционный выезд. В нижнем течении Енисея ихтиологический материал отбирается на путях нерестовых миграций корюшки и полупроходных сиговых видов – </w:t>
      </w:r>
      <w:r w:rsidRPr="00E51F15">
        <w:rPr>
          <w:rFonts w:ascii="Times New Roman" w:eastAsia="Times New Roman" w:hAnsi="Times New Roman" w:cs="Times New Roman"/>
          <w:bCs/>
          <w:sz w:val="24"/>
          <w:szCs w:val="24"/>
        </w:rPr>
        <w:t>сиг, омуль, ряпушка, муксун. В среднем течении проводятся исследования нельмы и тугуна, в р. Хатанге – ряпушки и муксуна. В Красноярском водохранилищах – по карповым, окуню и пеляди, Саяно-Шушенском и Богучанском водохранилищах – по карповым, окуню и щуке.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244E" w:rsidRPr="00E51F15" w:rsidRDefault="00BB244E" w:rsidP="00BB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8189" cy="4460682"/>
            <wp:effectExtent l="19050" t="0" r="0" b="0"/>
            <wp:docPr id="2" name="Рисунок 2" descr="H:\Documents and Settings\below\Рабочий стол\Экспедиш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below\Рабочий стол\Экспедиш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35" cy="44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1. Экспедиционные исследования Красноярского филиала ФГБНУ «ВНИРО» («НИИЭРВ») в 2021 г.</w:t>
      </w: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Начиная с 2011 г. официальная добыча рыбы в Енисейском рыбохозяйственном районе достигала 4,3-5,3 тыс. т в год, из них 32-35% составляли виды рыб, в отношении которых устанавливается ОДУ (1,5-1,7 тыс. т). В 2020 г. выловлено 5,6 тыс. т рыбы, в 2021 г. учтено 5,3 тыс. т. Объём добычи снизился в основном за счет видов, в отношении которых установлен рекомендованный вылов (РВ): в реках бассейна р. Енисея  объем добычи снизился почти на 300 т (корюшка, щука, налим, плотва и др.), наблюдается снижение вылова окуня на 200 т в Красноярском водохранилище, а также щуки и окуня в Хантайском водохранилище. Объем добычи водных биоресурсов, в отношении которых устанавливается ОДУ, в сравнении с 2020 г. увеличился на 86 т преимущественно за счёт возобновления промысла в озере Таймыр и Курейском водохранилище.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В целом, более 90% добычи (вылова) водных биоресурсов в Енисейском рыбохозяйственном районе приходится на Красноярский край, 99% – на промышленное рыболовство. Промысел сосредоточен преимущественно в реках и водохранилищах. Основной промысловый вид – окунь, на его долю приходится 22% общего вылова, на семейство сиговых в сумме – 30%, почти 22% приходится на карповые виды, 13% на щуку. Общее освоение квот добычи видов, в отношении которых устанавливается ОДУ, в бассейне Енисея составило 62%, в бассейне Пясины – 63%, в бассейне Хатанги – 55%, в оз. Таймыр – 48%. При этом свыше 95% от общей величины уловов  приходится на представителей семейства сиговых (рисунок 2).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B244E" w:rsidRPr="00E51F15" w:rsidRDefault="00BB244E" w:rsidP="00BB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6721" cy="3901979"/>
            <wp:effectExtent l="19050" t="0" r="0" b="0"/>
            <wp:docPr id="9" name="Рисунок 2" descr="H:\Documents and Settings\below\Рабочий стол\osv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below\Рабочий стол\osvo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61" cy="39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2. Освоение объемов ОДУ в Енисейском рыбохозяйственном районе в 2021 г.</w:t>
      </w: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Состояние запасов осетровых видов рыб.</w:t>
      </w:r>
      <w:r w:rsidRPr="00E51F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sz w:val="24"/>
          <w:szCs w:val="24"/>
        </w:rPr>
        <w:t xml:space="preserve">В Енисейском рыбохозяйственном районе обитают 2 вида осетровых: сибирский осётр и стерлядь. Ареал сибирского осетра значительно шире, чем стерляди. Помимо Енисея (где осетровые, собственно, и образуют основные промысловые запасы) и бассейна Оби осётр обитает также в бассейнах Пясины и Хатанги. Однако здесь он никогда не образовывал больших концентраций, промыслового значения не имел, в уловах встречался единично. </w:t>
      </w:r>
      <w:r w:rsidRPr="00E51F15">
        <w:rPr>
          <w:rFonts w:ascii="Times New Roman" w:hAnsi="Times New Roman" w:cs="Times New Roman"/>
          <w:spacing w:val="-4"/>
          <w:sz w:val="24"/>
          <w:szCs w:val="24"/>
        </w:rPr>
        <w:t>П</w:t>
      </w:r>
      <w:r w:rsidRPr="00E51F15">
        <w:rPr>
          <w:rFonts w:ascii="Times New Roman" w:hAnsi="Times New Roman" w:cs="Times New Roman"/>
          <w:spacing w:val="-3"/>
          <w:sz w:val="24"/>
          <w:szCs w:val="24"/>
        </w:rPr>
        <w:t>овсеместный запрет на промысловый лов осетровых</w:t>
      </w:r>
      <w:r w:rsidRPr="00E51F15">
        <w:rPr>
          <w:rFonts w:ascii="Times New Roman" w:hAnsi="Times New Roman" w:cs="Times New Roman"/>
          <w:spacing w:val="-4"/>
          <w:sz w:val="24"/>
          <w:szCs w:val="24"/>
        </w:rPr>
        <w:t xml:space="preserve"> действует с</w:t>
      </w:r>
      <w:r w:rsidRPr="00E51F15">
        <w:rPr>
          <w:rFonts w:ascii="Times New Roman" w:hAnsi="Times New Roman" w:cs="Times New Roman"/>
          <w:spacing w:val="-3"/>
          <w:sz w:val="24"/>
          <w:szCs w:val="24"/>
        </w:rPr>
        <w:t xml:space="preserve"> 1998 г., с 2000 </w:t>
      </w:r>
      <w:r w:rsidRPr="00E51F15">
        <w:rPr>
          <w:rFonts w:ascii="Times New Roman" w:hAnsi="Times New Roman" w:cs="Times New Roman"/>
          <w:spacing w:val="-1"/>
          <w:sz w:val="24"/>
          <w:szCs w:val="24"/>
        </w:rPr>
        <w:t>г. прекращён лов осетра и стерляди по разовым лицензиям</w:t>
      </w:r>
      <w:r w:rsidRPr="00E51F15">
        <w:rPr>
          <w:rFonts w:ascii="Times New Roman" w:hAnsi="Times New Roman" w:cs="Times New Roman"/>
          <w:spacing w:val="-5"/>
          <w:sz w:val="24"/>
          <w:szCs w:val="24"/>
        </w:rPr>
        <w:t xml:space="preserve">. В настоящее время вылов осетровых возможен только в научно-исследовательских и рыбоводных целях. </w:t>
      </w:r>
      <w:r w:rsidRPr="00E51F15">
        <w:rPr>
          <w:rFonts w:ascii="Times New Roman" w:hAnsi="Times New Roman" w:cs="Times New Roman"/>
          <w:sz w:val="24"/>
          <w:szCs w:val="24"/>
        </w:rPr>
        <w:t>Осётр сибирский (за исключением популяции бас. р. Лены) и стерлядь (популяция бас. р. Ангары) внесены в Красную книгу Российской Федерации (Приказ Минприроды России № 162 от 24.03.2020 г.). В бассейне Чулыма (бас. Оби) численность осетра и стерляди незначительна, их популяции занесены в Красные книги Красноярского края и Республики Хакасия.</w:t>
      </w:r>
    </w:p>
    <w:p w:rsidR="00BB244E" w:rsidRPr="00E51F15" w:rsidRDefault="00BB244E" w:rsidP="00BB244E">
      <w:pPr>
        <w:widowControl w:val="0"/>
        <w:tabs>
          <w:tab w:val="left" w:pos="720"/>
          <w:tab w:val="decimal" w:pos="2304"/>
          <w:tab w:val="decimal" w:pos="3024"/>
          <w:tab w:val="decimal" w:pos="4464"/>
          <w:tab w:val="decimal" w:pos="5184"/>
          <w:tab w:val="decimal" w:pos="6480"/>
          <w:tab w:val="decimal" w:pos="7920"/>
          <w:tab w:val="left" w:pos="8640"/>
          <w:tab w:val="left" w:pos="9792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51F15">
        <w:rPr>
          <w:rFonts w:ascii="Times New Roman" w:hAnsi="Times New Roman" w:cs="Times New Roman"/>
          <w:spacing w:val="-6"/>
          <w:sz w:val="24"/>
          <w:szCs w:val="24"/>
        </w:rPr>
        <w:t>Главной причиной напряжённого состояния популяций осетровых в совокупности с незаконным промыслом является нарушение единства и целостности экосистемы в результате широкомасштабного гидростроительства, в первую очередь, на Енисее и Ангаре. В результате изменения гидрохимического, гидрологического и температурного режимов нарушены условия нормального естественного воспроизводства осетровых.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Состояние запасов лососевых рыб.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Голец.</w:t>
      </w:r>
      <w:r w:rsidRPr="00E51F15">
        <w:rPr>
          <w:rFonts w:ascii="Times New Roman" w:hAnsi="Times New Roman" w:cs="Times New Roman"/>
          <w:sz w:val="24"/>
          <w:szCs w:val="24"/>
        </w:rPr>
        <w:t xml:space="preserve"> Специализированного промысла этого вида в Енисейском рыбохозяйственном районе нет, значительных скоплений не образует, добывается, в основном, в качестве прилова при промысле сиговых в заполярных водоёмах. Официальный вылов в озёрах промышленным рыболовством</w:t>
      </w:r>
      <w:r w:rsidRPr="00E51F15">
        <w:rPr>
          <w:rFonts w:ascii="Times New Roman" w:hAnsi="Times New Roman" w:cs="Times New Roman"/>
          <w:spacing w:val="-10"/>
          <w:sz w:val="24"/>
          <w:szCs w:val="24"/>
        </w:rPr>
        <w:t xml:space="preserve"> – 10-15 т в год. Добыча гольцов ведётся </w:t>
      </w:r>
      <w:r w:rsidRPr="00E51F15">
        <w:rPr>
          <w:rFonts w:ascii="Times New Roman" w:hAnsi="Times New Roman" w:cs="Times New Roman"/>
          <w:sz w:val="24"/>
          <w:szCs w:val="24"/>
        </w:rPr>
        <w:t xml:space="preserve">также местным населением при осуществлении традиционного рыболовства, при организации туристических маршрутов. Вместе с незаконным выловом добывается </w:t>
      </w:r>
      <w:r w:rsidRPr="00E51F15">
        <w:rPr>
          <w:rFonts w:ascii="Times New Roman" w:hAnsi="Times New Roman" w:cs="Times New Roman"/>
          <w:spacing w:val="-10"/>
          <w:sz w:val="24"/>
          <w:szCs w:val="24"/>
        </w:rPr>
        <w:t xml:space="preserve">в год около 50 </w:t>
      </w:r>
      <w:r w:rsidRPr="00E51F15">
        <w:rPr>
          <w:rFonts w:ascii="Times New Roman" w:hAnsi="Times New Roman" w:cs="Times New Roman"/>
          <w:sz w:val="24"/>
          <w:szCs w:val="24"/>
        </w:rPr>
        <w:t>т.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lastRenderedPageBreak/>
        <w:t>Помимо жилых пресноводных форм в реки побережья морей Карского и Лаптевых заходит на нерест проходной голец – анадромный вид (квоты добычи на него не устанавливаются). Объёмы неофициального вылова проходного гольца составляют 10-15 т. Оценка запасов его не проводится, биология, распространение, миграции, условия воспроизводства не изучены.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Таймень, ленок.</w:t>
      </w:r>
      <w:r w:rsidRPr="00E51F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sz w:val="24"/>
          <w:szCs w:val="24"/>
        </w:rPr>
        <w:t xml:space="preserve">Широко распространены в водных объектах Енисейского рыбохозяйственного района, но промысловых концентраций эти виды не образуют. Официальная добыча осуществляется традиционным рыболовством, в научно-исследовательских целях и в целях аквакультуры. В водотоках региона, примыкающих к промышленно развитым центрам, в районах, где ведется разработка россыпных месторождений золота, а также в местах, где проводятся сплавы (т.е. там, где у населения есть возможность добираться до любой реки), численность видов уменьшилась. В остальных водных </w:t>
      </w:r>
      <w:r w:rsidRPr="00E51F15">
        <w:rPr>
          <w:rFonts w:ascii="Times New Roman" w:hAnsi="Times New Roman" w:cs="Times New Roman"/>
          <w:spacing w:val="-6"/>
          <w:sz w:val="24"/>
          <w:szCs w:val="24"/>
        </w:rPr>
        <w:t>объектах (при отсутствии антропогенного</w:t>
      </w:r>
      <w:r w:rsidRPr="00E51F15">
        <w:rPr>
          <w:rFonts w:ascii="Times New Roman" w:hAnsi="Times New Roman" w:cs="Times New Roman"/>
          <w:sz w:val="24"/>
          <w:szCs w:val="24"/>
        </w:rPr>
        <w:t xml:space="preserve"> воздействия) состояние популяций тайменя и ленка удовлетворительное. Таймень бассейна р. Оби (популяция Западной Сибири) и бассейна р. Ангары, а также тупорылый ленок (популяции бассейна р. Обь) занесены в Красную книгу Российской Федерации.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Состояние запасов сиговых рыб.</w:t>
      </w:r>
      <w:r w:rsidRPr="00E51F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sz w:val="24"/>
          <w:szCs w:val="24"/>
        </w:rPr>
        <w:t xml:space="preserve">Семейство сиговых – основной объект промысла в Енисейском рыбохозяйственном районе, на его долю приходится от 30 до 40% общего вылова. Промысел базировался, в основном, на облове полупроходных видов в бассейнах рек Енисея, Пясины, Хатанги, а также жилых видов в озёрах. В бассейнах рек Хатанги, Пясины и оз. Таймыр на долю сиговых приходится 80-90% от общего улова. </w:t>
      </w: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Бассейн р. Енисей.</w:t>
      </w:r>
      <w:r w:rsidRPr="00E51F15">
        <w:rPr>
          <w:rFonts w:ascii="Times New Roman" w:hAnsi="Times New Roman" w:cs="Times New Roman"/>
          <w:sz w:val="24"/>
          <w:szCs w:val="24"/>
        </w:rPr>
        <w:t xml:space="preserve">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>На протяжении длительного времени фактическое изъятие сиговых видов рыб в бассейне р. Енисей, особенно нельмы, муксуна и омуля арктического, значительно превышало установленные объёмы квот. В связи с биологическими особенностями (позднее созревание, неежегодный нерест) у данных видов присутствует уязвимость к высокому промысловому прессу, который привел к значительному снижению численности промысловых стад. В связи с этим было принято решение об обнулении квот с 2019 г. в р. Енисее.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  <w:u w:val="single"/>
        </w:rPr>
        <w:t>Омуль арктический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. Основные биологические показатели омуля с 2019 г. имеют тренд к улучшению, но на сегодняшний день объем нерестового запаса находится на уровне граничного ориентира </w:t>
      </w:r>
      <w:r w:rsidRPr="00E51F15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E51F1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lim</w:t>
      </w:r>
      <w:r w:rsidRPr="00E51F15">
        <w:rPr>
          <w:rFonts w:ascii="Times New Roman" w:eastAsia="Times New Roman" w:hAnsi="Times New Roman" w:cs="Times New Roman"/>
          <w:sz w:val="24"/>
          <w:szCs w:val="24"/>
          <w:vertAlign w:val="subscript"/>
        </w:rPr>
        <w:t>,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 и увеличение численности на 2023 г. не прогнозируется (рисунок 3). По результатам исследований 2021 г. в р. Енисее отмечен достаточно мощный нерестовый ход омуля, что связано со вступлением в нерестовое стадо относительно урожайных поколений (2010-2011 гг. рождения). Также немаловажную роль имеет совместная работа инспекторов Росрыболовства и сотрудников МВД. Рыба, которая изымалась ежегодно ННН-промыслом в низовьях Енисея, с 2019 г. относительно свободно достигает нерестилищ. Для сохранения тенденций улучшения популяционных характеристик и поддержания ежегодного формирования высокой численности стада омуля (а не отдельных урожайных поколений) рекомендуется продолжение запрета промысла омуля на 2023 г. С биологической точки зрения ежегодное формирование полноценного нерестового стада биомассой более 1000 т (выше буферного значения) </w:t>
      </w:r>
      <w:r w:rsidRPr="00E51F15">
        <w:rPr>
          <w:rFonts w:ascii="Times New Roman" w:eastAsia="Times New Roman" w:hAnsi="Times New Roman" w:cs="Times New Roman"/>
          <w:spacing w:val="-4"/>
          <w:sz w:val="24"/>
          <w:szCs w:val="24"/>
        </w:rPr>
        <w:t>наступит не ранее чем через 9-10 лет с момента запрета вылова в 2019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5798" cy="1996225"/>
            <wp:effectExtent l="0" t="0" r="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B244E" w:rsidRPr="00E51F15" w:rsidRDefault="00BB244E" w:rsidP="00BB24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3. Нерестовый запас омуля арктического р. Енисея, 2004-2023 гг.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Нельма.</w:t>
      </w:r>
      <w:r w:rsidRPr="00E51F1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Средние биологические показатели нерестового стада нельмы в р. Енисей в последние годы имеют тенденцию к снижению, что свидетельствует о неудовлетворительном состоянии её популяции. По результатам исследований 2021 г. улучшение ситуации в состоянии нерестового стада нельмы не наблюдается. Индикаторные показатели нерестового стада находятся на уровне 2017-2020 гг. (таблица 1). </w:t>
      </w:r>
      <w:r w:rsidRPr="00E51F15">
        <w:rPr>
          <w:rFonts w:ascii="Times New Roman" w:hAnsi="Times New Roman" w:cs="Times New Roman"/>
          <w:sz w:val="24"/>
          <w:szCs w:val="24"/>
        </w:rPr>
        <w:t>Доля особей, поднимающихся на нерест впервые, в последнее десятилетие составляет 70-80% от численности нерестового стада, что не характерно для рыб с большим возрастным рядом. Доля половозрелых самок не превышает 20%.</w:t>
      </w:r>
    </w:p>
    <w:p w:rsidR="00BB244E" w:rsidRPr="00E51F15" w:rsidRDefault="00BB244E" w:rsidP="00BB244E">
      <w:pPr>
        <w:tabs>
          <w:tab w:val="left" w:pos="14317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BB244E" w:rsidRPr="00E51F15" w:rsidRDefault="00BB244E" w:rsidP="00BB244E">
      <w:pPr>
        <w:tabs>
          <w:tab w:val="left" w:pos="1431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Таблица 1 – Динамика основных биологических показателей нерестового стада нельмы, р. Енисей,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>1981-2021 гг.</w:t>
      </w:r>
    </w:p>
    <w:tbl>
      <w:tblPr>
        <w:tblW w:w="94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806"/>
        <w:gridCol w:w="865"/>
        <w:gridCol w:w="865"/>
        <w:gridCol w:w="865"/>
        <w:gridCol w:w="865"/>
        <w:gridCol w:w="865"/>
        <w:gridCol w:w="865"/>
        <w:gridCol w:w="867"/>
      </w:tblGrid>
      <w:tr w:rsidR="00BB244E" w:rsidRPr="00E51F15" w:rsidTr="00BB244E">
        <w:trPr>
          <w:trHeight w:val="142"/>
        </w:trPr>
        <w:tc>
          <w:tcPr>
            <w:tcW w:w="2547" w:type="dxa"/>
            <w:vMerge w:val="restart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34"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Средние показатели</w:t>
            </w:r>
          </w:p>
        </w:tc>
        <w:tc>
          <w:tcPr>
            <w:tcW w:w="6863" w:type="dxa"/>
            <w:gridSpan w:val="8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Годы</w:t>
            </w:r>
          </w:p>
        </w:tc>
      </w:tr>
      <w:tr w:rsidR="00BB244E" w:rsidRPr="00E51F15" w:rsidTr="00BB244E">
        <w:trPr>
          <w:trHeight w:val="178"/>
        </w:trPr>
        <w:tc>
          <w:tcPr>
            <w:tcW w:w="2547" w:type="dxa"/>
            <w:vMerge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113"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06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1981-</w:t>
            </w:r>
          </w:p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1990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1991-</w:t>
            </w:r>
          </w:p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2000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2001-</w:t>
            </w:r>
          </w:p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2010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2011-</w:t>
            </w:r>
          </w:p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2013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2014-</w:t>
            </w:r>
          </w:p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2016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2017-2019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</w:t>
            </w:r>
          </w:p>
        </w:tc>
      </w:tr>
      <w:tr w:rsidR="00BB244E" w:rsidRPr="00E51F15" w:rsidTr="00BB244E">
        <w:trPr>
          <w:trHeight w:val="243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длина, см</w:t>
            </w:r>
          </w:p>
        </w:tc>
        <w:tc>
          <w:tcPr>
            <w:tcW w:w="806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81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81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75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78</w:t>
            </w:r>
          </w:p>
        </w:tc>
      </w:tr>
      <w:tr w:rsidR="00BB244E" w:rsidRPr="00E51F15" w:rsidTr="00BB244E">
        <w:trPr>
          <w:trHeight w:val="237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Средняя масса, кг</w:t>
            </w:r>
          </w:p>
        </w:tc>
        <w:tc>
          <w:tcPr>
            <w:tcW w:w="806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6,4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8,0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6,7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6,5</w:t>
            </w:r>
          </w:p>
        </w:tc>
        <w:tc>
          <w:tcPr>
            <w:tcW w:w="865" w:type="dxa"/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6,1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6,0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5,7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5,6</w:t>
            </w:r>
          </w:p>
        </w:tc>
      </w:tr>
      <w:tr w:rsidR="00BB244E" w:rsidRPr="00E51F15" w:rsidTr="00BB244E">
        <w:trPr>
          <w:trHeight w:val="131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Средний возраст, годы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14,1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14,9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13,7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13,0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10,8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11,0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11,5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10,3</w:t>
            </w:r>
          </w:p>
        </w:tc>
      </w:tr>
      <w:tr w:rsidR="00BB244E" w:rsidRPr="00E51F15" w:rsidTr="00BB244E">
        <w:trPr>
          <w:trHeight w:val="131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Плодовитость, тыс.шт.</w:t>
            </w:r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185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180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155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143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127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124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119</w:t>
            </w:r>
          </w:p>
        </w:tc>
      </w:tr>
      <w:tr w:rsidR="00BB244E" w:rsidRPr="00E51F15" w:rsidTr="00BB244E">
        <w:trPr>
          <w:trHeight w:val="13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ind w:right="-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Доля половозрелых самок, 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37,2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38,4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38,1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42,0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32,3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21,0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19,4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244E" w:rsidRPr="00E51F15" w:rsidRDefault="00BB244E" w:rsidP="00BB244E">
            <w:pPr>
              <w:tabs>
                <w:tab w:val="left" w:pos="1431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51F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17,2</w:t>
            </w:r>
          </w:p>
        </w:tc>
      </w:tr>
    </w:tbl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  <w:u w:val="single"/>
        </w:rPr>
        <w:t>Муксун.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bCs/>
          <w:sz w:val="24"/>
          <w:szCs w:val="24"/>
        </w:rPr>
        <w:t xml:space="preserve">Исследования, проведённые в 2021 г., не выявили положительных изменений размерно-возрастных показателей муксуна.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>Индикаторные показатели муксуна по материалам исследований находятся на уровне 2017-2020 гг. Состояние популяции оценивается как неудовлетворительное, основную часть промыслового запаса муксуна составляют неполовозрелые особи (рисунки 4, 5).</w:t>
      </w:r>
    </w:p>
    <w:p w:rsidR="00BB244E" w:rsidRPr="00E51F15" w:rsidRDefault="00BB244E" w:rsidP="00BB24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2919" cy="1983347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244E" w:rsidRPr="00E51F15" w:rsidRDefault="00BB244E" w:rsidP="00BB24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4. Размерный состав уловов муксуна р. Енисея, нагульное стадо, 1991-2021 гг.</w:t>
      </w:r>
    </w:p>
    <w:p w:rsidR="00BB244E" w:rsidRPr="00E51F15" w:rsidRDefault="00BB244E" w:rsidP="00BB24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7161" cy="2215166"/>
            <wp:effectExtent l="0" t="0" r="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B244E" w:rsidRPr="00E51F15" w:rsidRDefault="00BB244E" w:rsidP="00BB244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5. Возрастной состав уловов муксуна р. Енисея, нагульное стадо, 2004-2021 гг.</w:t>
      </w:r>
    </w:p>
    <w:p w:rsidR="00BB244E" w:rsidRPr="00E51F15" w:rsidRDefault="00BB244E" w:rsidP="00BB244E">
      <w:pPr>
        <w:spacing w:after="0" w:line="240" w:lineRule="auto"/>
        <w:ind w:right="-143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244E" w:rsidRPr="00E51F15" w:rsidRDefault="00BB244E" w:rsidP="00BB244E">
      <w:pPr>
        <w:spacing w:after="0" w:line="240" w:lineRule="auto"/>
        <w:ind w:right="-1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Нельма и муксун являются длинноцикловыми видами, в связи с чем для формирования устойчивого нерестового стада запрет промысла необходим на срок не менее чем на 10-12 лет. </w:t>
      </w:r>
      <w:r w:rsidRPr="00E51F15">
        <w:rPr>
          <w:rFonts w:ascii="Times New Roman" w:hAnsi="Times New Roman" w:cs="Times New Roman"/>
          <w:sz w:val="24"/>
          <w:szCs w:val="24"/>
        </w:rPr>
        <w:t>На основании</w:t>
      </w:r>
      <w:r w:rsidRPr="00E51F15">
        <w:rPr>
          <w:rFonts w:ascii="Times New Roman" w:hAnsi="Times New Roman" w:cs="Times New Roman"/>
          <w:bCs/>
          <w:sz w:val="24"/>
          <w:szCs w:val="24"/>
        </w:rPr>
        <w:t xml:space="preserve"> многолетней динамики биологических показателей, рыбопромысловой обстановки, а также сложившейся отрицательной тенденции к изменению состояния популяции муксуна за последние годы</w:t>
      </w:r>
      <w:r w:rsidRPr="00E51F15">
        <w:rPr>
          <w:rFonts w:ascii="Times New Roman" w:hAnsi="Times New Roman" w:cs="Times New Roman"/>
          <w:sz w:val="24"/>
          <w:szCs w:val="24"/>
        </w:rPr>
        <w:t xml:space="preserve"> Красноярский филиал</w:t>
      </w:r>
      <w:r w:rsidRPr="00E51F15">
        <w:rPr>
          <w:rFonts w:ascii="Times New Roman" w:hAnsi="Times New Roman" w:cs="Times New Roman"/>
          <w:spacing w:val="-10"/>
          <w:sz w:val="24"/>
          <w:szCs w:val="24"/>
        </w:rPr>
        <w:t xml:space="preserve"> ФГБНУ «ВНИРО» </w:t>
      </w:r>
      <w:r w:rsidRPr="00E51F15">
        <w:rPr>
          <w:rFonts w:ascii="Times New Roman" w:hAnsi="Times New Roman" w:cs="Times New Roman"/>
          <w:sz w:val="24"/>
          <w:szCs w:val="24"/>
        </w:rPr>
        <w:t>рекомендует продлить запрет вылова енисейских популяций нельмы и муксуна</w:t>
      </w:r>
      <w:r w:rsidRPr="00E51F15">
        <w:rPr>
          <w:rFonts w:ascii="Times New Roman" w:hAnsi="Times New Roman" w:cs="Times New Roman"/>
          <w:spacing w:val="-10"/>
          <w:sz w:val="24"/>
          <w:szCs w:val="24"/>
        </w:rPr>
        <w:t xml:space="preserve"> в 2023 </w:t>
      </w:r>
      <w:r w:rsidRPr="00E51F15">
        <w:rPr>
          <w:rFonts w:ascii="Times New Roman" w:hAnsi="Times New Roman" w:cs="Times New Roman"/>
          <w:sz w:val="24"/>
          <w:szCs w:val="24"/>
        </w:rPr>
        <w:t xml:space="preserve">г. для всех видов рыболовства </w:t>
      </w:r>
      <w:r w:rsidRPr="00E51F15">
        <w:rPr>
          <w:rFonts w:ascii="Times New Roman" w:hAnsi="Times New Roman" w:cs="Times New Roman"/>
          <w:bCs/>
          <w:sz w:val="24"/>
          <w:szCs w:val="24"/>
        </w:rPr>
        <w:t>за исключением научно-исследовательских ловов и для целей аквакультуры (рыбоводства).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Помимо этого для  восстановления численности запретных видов (омуля арктического, муксуна и нельмы) необходимо проведение мероприятий по искусственному воспроизводству. Данный вопрос на сегодняшний день прорабатывается в Росрыболовстве и подведомственных ему организациях.</w:t>
      </w:r>
    </w:p>
    <w:p w:rsidR="00BB244E" w:rsidRPr="00E51F15" w:rsidRDefault="00BB244E" w:rsidP="00BB244E">
      <w:pPr>
        <w:spacing w:after="0" w:line="240" w:lineRule="auto"/>
        <w:ind w:right="-1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 xml:space="preserve">Популяции </w:t>
      </w:r>
      <w:r w:rsidRPr="00E51F15">
        <w:rPr>
          <w:rFonts w:ascii="Times New Roman" w:hAnsi="Times New Roman" w:cs="Times New Roman"/>
          <w:sz w:val="24"/>
          <w:szCs w:val="24"/>
          <w:u w:val="single"/>
        </w:rPr>
        <w:t>прочих видов сиговых</w:t>
      </w:r>
      <w:r w:rsidRPr="00E51F15">
        <w:rPr>
          <w:rFonts w:ascii="Times New Roman" w:hAnsi="Times New Roman" w:cs="Times New Roman"/>
          <w:sz w:val="24"/>
          <w:szCs w:val="24"/>
        </w:rPr>
        <w:t xml:space="preserve">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>в бассейне р. Енисей</w:t>
      </w:r>
      <w:r w:rsidRPr="00E51F15">
        <w:rPr>
          <w:rFonts w:ascii="Times New Roman" w:hAnsi="Times New Roman" w:cs="Times New Roman"/>
          <w:sz w:val="24"/>
          <w:szCs w:val="24"/>
        </w:rPr>
        <w:t xml:space="preserve"> (сиг, чир, пелядь и тугун) находятся в удовлетворительном состоянии.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Сохранению численности популяции полупроходного сига способствуют особенности нерестового хода: основная масса производителей мигрирует в период формирования ледового покрова, что в итоге ограничивает его промысел. Запасы жилых видов (чира и пеляди) отличаются относительно высокой устойчивостью вследствие рассредоточенности популяций по многочисленным, зачастую труднодоступным водоёмам. </w:t>
      </w:r>
      <w:r w:rsidRPr="00E51F15">
        <w:rPr>
          <w:rFonts w:ascii="Times New Roman" w:hAnsi="Times New Roman" w:cs="Times New Roman"/>
          <w:sz w:val="24"/>
          <w:szCs w:val="24"/>
          <w:lang w:eastAsia="ar-SA"/>
        </w:rPr>
        <w:t xml:space="preserve">Тугуну свойственны значительные колебания численности в течение короткого промежутка времени, связанные как с биологическими причинами (естественная смертность), так и с гидрологическими особенностями в период нереста. 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>Несмотря на существующую нагрузку промыслового воздействия, численность популяции тугуна (как короткоциклового вида) способна восстанавливаться за короткий период времени.</w:t>
      </w:r>
    </w:p>
    <w:p w:rsidR="00BB244E" w:rsidRPr="00E51F15" w:rsidRDefault="00BB244E" w:rsidP="00BB244E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Бассейн р. Пясины</w:t>
      </w:r>
      <w:r w:rsidRPr="00E51F15">
        <w:rPr>
          <w:rFonts w:ascii="Times New Roman" w:hAnsi="Times New Roman" w:cs="Times New Roman"/>
          <w:sz w:val="24"/>
          <w:szCs w:val="24"/>
        </w:rPr>
        <w:t>.</w:t>
      </w:r>
      <w:r w:rsidRPr="00E51F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sz w:val="24"/>
          <w:szCs w:val="24"/>
        </w:rPr>
        <w:t>Невысокая кормовая база бассейна Пясины ограничивает численность рыб и их биологические показатели. Интенсивное освоение запасов рыб в 1960-х годах (когда вылавливалось от 540 до 950 т ежегодно) подорвало запасы нельмы, муксуна, ряпушки, чира в р. Пясине. Причиной послужила организация промысла рыб на нагуле в Пясинском заливе мелкоячейными орудиями лова (неполовозрелые особи в уловах составляли: нельма – 70%, чир – 75%, муксун – почти 100%). В озёрах Норильской системы стада нельмы, чира, муксуна были также подвержены интенсивному промыслу, в связи с этим в соответствии с Правилами рыболовства для Западно-Сибирского рыбохозяйственного бассейна промышленное рыболовство в истоке р. Пясина, а также в озёрах Лама, Мелкое, Глубокое, Капчук, Гудке, Собачье и Накомякен с притоками запрещено.</w:t>
      </w:r>
    </w:p>
    <w:p w:rsidR="00BB244E" w:rsidRPr="00E51F15" w:rsidRDefault="00BB244E" w:rsidP="00BB244E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1F15">
        <w:rPr>
          <w:rFonts w:ascii="Times New Roman" w:hAnsi="Times New Roman" w:cs="Times New Roman"/>
          <w:bCs/>
          <w:sz w:val="24"/>
          <w:szCs w:val="24"/>
        </w:rPr>
        <w:t xml:space="preserve">Водные объекты бассейна р. Пясины (оз. Пясино и р. Пясина) на современном этапе подвержены значительному антропогенному прессу. В связи с возникновением ЧС </w:t>
      </w:r>
      <w:r w:rsidRPr="00E51F15">
        <w:rPr>
          <w:rFonts w:ascii="Times New Roman" w:hAnsi="Times New Roman" w:cs="Times New Roman"/>
          <w:bCs/>
          <w:sz w:val="24"/>
          <w:szCs w:val="24"/>
        </w:rPr>
        <w:lastRenderedPageBreak/>
        <w:t>Федерального масштаба 29 мая 2020 г. в районе г. Норильска в виде утечки дизельного топлива из резервуаров в водные объекты бассейна р. Пясины (рр. Далдыкан, Амбарная, Пясина, оз. Пясино) в срочном порядке были организованы масштабные исследования водных биоресурсов с привлечением сотрудников ВНИРО, в том числе Тюменского и Красноярского филиалов ФГБНУ «ВНИРО». Исследования выявили серьезный ущерб, нанесённый водным биоресурсам. Для формирования базы данных состояния водных биоресурсов исследования в бассейне Пясины планируется проводить ежегодно на постоянной основе (при дополнительном финансировании), т.к. необходимо отследить динамику состояния гидробиоценоза в целом, в т.ч. состояние популяций промысловых видов рыб и кормовой базы.</w:t>
      </w:r>
    </w:p>
    <w:p w:rsidR="00BB244E" w:rsidRPr="00E51F15" w:rsidRDefault="00BB244E" w:rsidP="00BB244E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 xml:space="preserve">Несмотря на достаточно напряжённое состояние популяций основных промысловых видов рыб в р. Пясине и озёрах Норильской системы  бассейн Пясины включает значительное количество озёр и крупных притоков (рр. Дудыпта, Тарея, Агапа и др.) слабо осваиваемых промыслом. В этой связи прогнозные значения промыслового изъятия водных биоресурсов </w:t>
      </w:r>
      <w:r w:rsidRPr="00E51F15">
        <w:rPr>
          <w:rFonts w:ascii="Times New Roman" w:hAnsi="Times New Roman" w:cs="Times New Roman"/>
          <w:spacing w:val="-8"/>
          <w:sz w:val="24"/>
          <w:szCs w:val="24"/>
        </w:rPr>
        <w:t>бассейна р. Пясины на 2023</w:t>
      </w:r>
      <w:r w:rsidRPr="00E51F15">
        <w:rPr>
          <w:rFonts w:ascii="Times New Roman" w:hAnsi="Times New Roman" w:cs="Times New Roman"/>
          <w:sz w:val="24"/>
          <w:szCs w:val="24"/>
        </w:rPr>
        <w:t xml:space="preserve"> г. остаются на уровне прогноза на 2022 г., за исключением рек Пясины, Далдыкан и Амбарной и озера Пясино, в которых объёмы ОДУ определены только для осуществления рыболовства в научно-исследовательских целях.</w:t>
      </w:r>
    </w:p>
    <w:p w:rsidR="00BB244E" w:rsidRPr="00E51F15" w:rsidRDefault="00BB244E" w:rsidP="00BB244E">
      <w:pPr>
        <w:tabs>
          <w:tab w:val="left" w:pos="184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iCs/>
          <w:sz w:val="24"/>
          <w:szCs w:val="24"/>
          <w:u w:val="single"/>
        </w:rPr>
        <w:t>Бассейн р. Хатанги.</w:t>
      </w:r>
      <w:r w:rsidRPr="00E51F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51F15">
        <w:rPr>
          <w:rFonts w:ascii="Times New Roman" w:hAnsi="Times New Roman" w:cs="Times New Roman"/>
          <w:sz w:val="24"/>
          <w:szCs w:val="24"/>
        </w:rPr>
        <w:t>Основной промысловый вид в бассейне – ряпушка, которая обеспечивает около 70% общей добычи, прочие виды – муксун, чир, сиг в сумме составляют до 11%.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 xml:space="preserve">Наиболее уязвимым объектом рыболовства в бассейне р. Хатанги является муксун. Промысел муксуна базировался на облове нагульного стада ставными сетями ячеёй 50-55 мм. Около 80% годовой добычи приходилось на конец июня - первую половину августа. В настоящее время облавливается, в основном, нерестовое стадо в рр. Хатанге и Хете во время хода к нерестилищам и ската на нагул (август-декабрь). Размерные показатели нерестового стада находятся на уровне среднемноголетних значений. Прогноз нерестового запаса муксуна в 2023 г. определен в объёме 0,44 тыс. т. Численность вида стабильна. 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Бассейн р. Таймыры</w:t>
      </w:r>
      <w:r w:rsidRPr="00E51F15">
        <w:rPr>
          <w:rFonts w:ascii="Times New Roman" w:hAnsi="Times New Roman" w:cs="Times New Roman"/>
          <w:sz w:val="24"/>
          <w:szCs w:val="24"/>
        </w:rPr>
        <w:t>. В озере Таймыр сиговые составляют основу добычи: на их долю приходится свыше 80% вылова. В промысловых уловах сиговые представлены муксуном, чиром, сигом и омулем. Эти виды имеют большую продолжительность жизни. Половое созревание позднее и растянутое, нерест неежегодный, что снижает воспроизводительный потенциал и обуславливает их уязвимость к промысловому воздействию.</w:t>
      </w:r>
    </w:p>
    <w:p w:rsidR="00BB244E" w:rsidRPr="00E51F15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 xml:space="preserve">С 1982 г. введён запрет на промысел в реках Верхней и Нижней Таймыре и западной части оз. Таймыр с целью охраны воспроизводства полупроходных видов рыб. В 1993 г. Таймырская губа включена в состав Большого Арктического заповедника, что способствует сохранению запасов ценных видов рыб в бассейне Таймыры. Из-за большой удаленности и высокой стоимости авиаперевозок промысел рыбы в бассейне оз. Таймыр ведётся только </w:t>
      </w:r>
      <w:r w:rsidRPr="00E51F15">
        <w:rPr>
          <w:rFonts w:ascii="Times New Roman" w:hAnsi="Times New Roman" w:cs="Times New Roman"/>
          <w:spacing w:val="4"/>
          <w:sz w:val="24"/>
          <w:szCs w:val="24"/>
        </w:rPr>
        <w:t>в зимний период,</w:t>
      </w:r>
      <w:r w:rsidRPr="00E51F15">
        <w:rPr>
          <w:rFonts w:ascii="Times New Roman" w:hAnsi="Times New Roman" w:cs="Times New Roman"/>
          <w:iCs/>
          <w:spacing w:val="4"/>
          <w:sz w:val="24"/>
          <w:szCs w:val="24"/>
        </w:rPr>
        <w:t xml:space="preserve"> что также препятствует антропогенному прессу. В 2017-2020 гг.</w:t>
      </w:r>
      <w:r w:rsidRPr="00E51F15">
        <w:rPr>
          <w:rFonts w:ascii="Times New Roman" w:hAnsi="Times New Roman" w:cs="Times New Roman"/>
          <w:iCs/>
          <w:sz w:val="24"/>
          <w:szCs w:val="24"/>
        </w:rPr>
        <w:t xml:space="preserve"> лов рыбы в оз. Таймыр не осуществлялся. </w:t>
      </w:r>
      <w:r w:rsidRPr="00E51F15">
        <w:rPr>
          <w:rFonts w:ascii="Times New Roman" w:hAnsi="Times New Roman" w:cs="Times New Roman"/>
          <w:sz w:val="24"/>
          <w:szCs w:val="24"/>
        </w:rPr>
        <w:t>В 2021 г. выловлено 48,5 т, в т.ч. сиг – 18,7 т, муксун – 17,2 т, чир – 11,9 т, омуль – 0,2 т. Освоение объемов ОДУ составило 33,2%.</w:t>
      </w: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  <w:u w:val="single"/>
        </w:rPr>
        <w:t>Состояние запасов в водохранилищах бассейна Енисея.</w:t>
      </w:r>
      <w:r w:rsidRPr="00E51F15">
        <w:rPr>
          <w:rFonts w:ascii="Times New Roman" w:hAnsi="Times New Roman" w:cs="Times New Roman"/>
          <w:sz w:val="24"/>
          <w:szCs w:val="24"/>
        </w:rPr>
        <w:t xml:space="preserve"> Из видов рыб, на которые устанавливается ОДУ, промысловое значение имеют пелядь в Красноярском и Хантайском водохранилищах и сиг в Курейском и Хантайском.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В Красноярском водохранилище запасы пеляди осваиваются наиболее интенсивно. С 2018 г. наблюдается значительное снижение её уловов в границах Республики Хакасия, а с 2020 г. – в границах Красноярского края </w:t>
      </w:r>
      <w:r w:rsidRPr="00E51F15">
        <w:rPr>
          <w:rFonts w:ascii="Times New Roman" w:eastAsia="Times New Roman" w:hAnsi="Times New Roman" w:cs="Times New Roman"/>
          <w:bCs/>
          <w:sz w:val="24"/>
          <w:szCs w:val="24"/>
        </w:rPr>
        <w:t>(рисунок 6).</w:t>
      </w: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1F1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Основными причинами снижения численности пеляди являются низкие объемы искусственного воспроизводства и ННН-промысел. Пелядь в Красноярском водохранилище – натурализовавшийся вид, но уровень </w:t>
      </w:r>
      <w:r w:rsidRPr="00E51F1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ее естественного воспроизводительного потенциала невысок и ежегодное искусственное воспроизводство на достаточном уровне является обязательным фактором поддержания оптимальной численности популяции. </w:t>
      </w:r>
      <w:r w:rsidRPr="00E51F15">
        <w:rPr>
          <w:rFonts w:ascii="Times New Roman" w:hAnsi="Times New Roman" w:cs="Times New Roman"/>
          <w:sz w:val="24"/>
          <w:szCs w:val="24"/>
        </w:rPr>
        <w:t xml:space="preserve">С учётом сложившейся организации промысла и принятой стратегии промыслового использования ОДУ пеляди в Красноярском водохранилище для Республики Хакасия был снижен в </w:t>
      </w:r>
      <w:r w:rsidRPr="00E51F15">
        <w:rPr>
          <w:rFonts w:ascii="Times New Roman" w:hAnsi="Times New Roman" w:cs="Times New Roman"/>
          <w:spacing w:val="-20"/>
          <w:sz w:val="24"/>
          <w:szCs w:val="24"/>
        </w:rPr>
        <w:t>2021 г.</w:t>
      </w:r>
      <w:r w:rsidRPr="00E51F15">
        <w:rPr>
          <w:rFonts w:ascii="Times New Roman" w:hAnsi="Times New Roman" w:cs="Times New Roman"/>
          <w:sz w:val="24"/>
          <w:szCs w:val="24"/>
        </w:rPr>
        <w:t xml:space="preserve"> с 50 до 10 т (на 40 т), в границах Красноярского края – на 2022 г. снижение со 113 до 50 т (на 63 т). </w:t>
      </w:r>
      <w:r w:rsidRPr="00E51F15">
        <w:rPr>
          <w:rFonts w:ascii="Times New Roman" w:eastAsia="Times New Roman" w:hAnsi="Times New Roman" w:cs="Times New Roman"/>
          <w:bCs/>
          <w:sz w:val="24"/>
          <w:szCs w:val="24"/>
        </w:rPr>
        <w:t>На 2023 г. ОДУ пеляди в Красноярском водохранилище в Красноярском крае определен в объеме 50 т, в Республике Хакасия – 10 т. При дальнейшей тенденции снижения численности ОДУ пеляди будет снижаться вплоть до введения запрета на промысел по всей акватории Красноярского водохранилища.</w:t>
      </w:r>
    </w:p>
    <w:p w:rsidR="00BB244E" w:rsidRPr="00E51F15" w:rsidRDefault="00BB244E" w:rsidP="00BB24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244E" w:rsidRPr="00E51F15" w:rsidRDefault="00BB244E" w:rsidP="00BB244E">
      <w:pPr>
        <w:tabs>
          <w:tab w:val="left" w:pos="1843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450" cy="3568396"/>
            <wp:effectExtent l="19050" t="0" r="0" b="0"/>
            <wp:docPr id="13" name="Рисунок 1" descr="H:\Documents and Settings\below\Рабочий стол\paly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below\Рабочий стол\palyad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30" cy="35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44E" w:rsidRPr="00E51F15" w:rsidRDefault="00BB244E" w:rsidP="00BB2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Рисунок 6. Освоение объемов ОДУ пеляди в Красноярском водохранилище в Красноярском крае и Республике Хакасия (тонны и проценты), 2016-2021 гг.</w:t>
      </w: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Стоит отметить, что освоение ценных видов рыб (сиговых) в магистральных водных объектах Енисейского рыбохозяйственного бассейна всегда находилось на высоком уровне. Фактическое изъятие сопоставимо, а во многих случаях выше установленных объёмов квот. Фактическое освоение рекомендованных объёмов вылова карповых, окуня, налима и щуки в Енисейском рыбохозяйственном районе не превышает 30%. Освоение по данным официальной статистики – около 40%, что связано с особенностями получения разрешений на добычу (вылов) пользователями. Промыслом осваиваются наиболее ценные и наименее затратные в экономическом плане виды рыб в районах с развитой транспортной сетью или, в отдельных случаях, на водоёмах, где можно совмещать лов рыбы с другими видами хозяйственной деятельности. Освоения новых водоёмов, как правило, более труднодоступных, а также вылова рыб, дающих меньше прибыли, при этом не происходит. </w:t>
      </w:r>
    </w:p>
    <w:p w:rsidR="00BB244E" w:rsidRPr="00E51F15" w:rsidRDefault="00BB244E" w:rsidP="00BB244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Промысловая тенденция в виде недоосвоения квот карповых, окуня, щуки, налима и значительного промыслового пресса сиговых, лососевых и осетровых (несмотря на запрет) приводит к сокращению численности ценных видов рыб и вытеснению их менее ценными. Для северных водоёмов с низкой продуктивностью явление практически необратимое, что приводит к снижению рыбохозяйственной ценности водоёмов. </w:t>
      </w:r>
    </w:p>
    <w:p w:rsidR="00BB244E" w:rsidRPr="00E51F15" w:rsidRDefault="00BB244E" w:rsidP="00BB24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Оценка промыслового запаса (рассчитанная различными статистическими и биостатистическими методами) и последующее определение промыслового запаса с учётом «предосторожной» стратегии величины допустимого промыслового изъятия (которая определяется в зависимости от многолетней динамики состояния запаса) предполагает, что изъятие водных биологических ресурсов, осуществляемое в соответствии с Правилами рыболовства, и в определённых объёмах прямо или косвенно не приведёт к снижению биологического разнообразия, не сократит численность и не нарушит устойчивость воспроизводства водных биоресурсов, не нарушит среду их обитания и не представляет опасности для человека. </w:t>
      </w:r>
    </w:p>
    <w:p w:rsidR="00BB244E" w:rsidRPr="00E51F15" w:rsidRDefault="00BB244E" w:rsidP="00BB244E">
      <w:pPr>
        <w:spacing w:after="0" w:line="240" w:lineRule="auto"/>
        <w:ind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hAnsi="Times New Roman" w:cs="Times New Roman"/>
          <w:sz w:val="24"/>
          <w:szCs w:val="24"/>
        </w:rPr>
        <w:t>По результатам исследований, проведённых в 2021 г., а также анализа данных многолетних наблюдений за популяциями рыб и средой их обитания, существенных изменений в численности и биомассе видов водных биологических ресурсов, в отношении которых устанавливается ОДУ, по сравнению с 2020 г. не выявлено.</w:t>
      </w:r>
    </w:p>
    <w:p w:rsidR="00BB244E" w:rsidRPr="00E51F15" w:rsidRDefault="00BB244E" w:rsidP="00BB244E">
      <w:pPr>
        <w:spacing w:after="0" w:line="240" w:lineRule="auto"/>
        <w:ind w:left="-113" w:right="-14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 xml:space="preserve">Общие допустимые уловы водных биоресурсов </w:t>
      </w:r>
      <w:r w:rsidRPr="00E51F15">
        <w:rPr>
          <w:rFonts w:ascii="Times New Roman" w:hAnsi="Times New Roman" w:cs="Times New Roman"/>
          <w:sz w:val="24"/>
          <w:szCs w:val="24"/>
        </w:rPr>
        <w:t>на 2023 г. установлены на уровне 2022 года – 1866,696 т (в Красноярском крае – 1851,401 т, в Республике Хакасия – 15,295 т).</w:t>
      </w:r>
    </w:p>
    <w:p w:rsidR="00BB244E" w:rsidRDefault="00BB244E" w:rsidP="00BB244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F15">
        <w:rPr>
          <w:rFonts w:ascii="Times New Roman" w:eastAsia="Times New Roman" w:hAnsi="Times New Roman" w:cs="Times New Roman"/>
          <w:sz w:val="24"/>
          <w:szCs w:val="24"/>
        </w:rPr>
        <w:t>Изъятие водных биологических ресурсов в объёмах, представленных в Материалах, обосновывающих общие допустимые уловы во внутренних водах Красноярского края и Республики Хакасия, за исключением внутренних морских вод, на 2023 г. (с оценкой воздействия на окружающую среду), осуществляемое в соответствии с Правилами рыболовства, не сократит промысловые запасы видов рыб, в отношении которых устанавливается ОДУ, и не окажет негативного воздействия на окружающую среду.</w:t>
      </w:r>
    </w:p>
    <w:p w:rsidR="00BB244E" w:rsidRPr="00600664" w:rsidRDefault="00BB244E" w:rsidP="00BB244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DB1">
        <w:rPr>
          <w:rFonts w:ascii="Times New Roman" w:hAnsi="Times New Roman" w:cs="Times New Roman"/>
          <w:i/>
          <w:sz w:val="24"/>
          <w:szCs w:val="24"/>
        </w:rPr>
        <w:t>4. Оценка воздействия на окружающую среду (атмосферный воздух, поверхностные водные объекты, геологическую среду и подземные воды, почвы, растительный и животный мир, воздействие отходов производства и потребления на состояние окружающей среды, оценка физических факторов воздействия, описание возможных аварийных ситуаций и оценка воздействия на окружающую среду при аварийных ситуациях) планируемой (намечаемой) хозяйственной и иной деятельности по рассмотренным альтернативным вариантам ее реализации, в том</w:t>
      </w:r>
      <w:r w:rsidR="00F24A3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2DB1">
        <w:rPr>
          <w:rFonts w:ascii="Times New Roman" w:hAnsi="Times New Roman" w:cs="Times New Roman"/>
          <w:i/>
          <w:sz w:val="24"/>
          <w:szCs w:val="24"/>
        </w:rPr>
        <w:t>числе оценка достоверности прогнозируемых последствий планируемой (намечаемой) хозяйственной и иной деятельности.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 xml:space="preserve">Намечаемая деятельность (обоснование ОДУ) непосредственное воздействие на объекты окружающей среды (атмосферный воздух, поверхностные водные объекты, геологическую среду и подземные воды, почвы, растительный и животный мир, за исключением единиц запаса водных биоресурсов) не оказывает. В свою очередь добыча (вылов) водных биоресурсов  в рекомендованных объемах ОДУ, указанных в Материалах ОДУ не нанесет ущерба водным биоресурсам и окружающей среде. </w:t>
      </w:r>
    </w:p>
    <w:p w:rsidR="00BB244E" w:rsidRPr="009F4E2D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 xml:space="preserve">При подготовке материалов, обосновывающих ОДУ альтернативные варианты, в том числе «нулевой вариант» (отказ от деятельности), не рассматривались. </w:t>
      </w:r>
      <w:r w:rsidRPr="009F4E2D">
        <w:rPr>
          <w:rFonts w:ascii="Times New Roman" w:hAnsi="Times New Roman" w:cs="Times New Roman"/>
          <w:iCs/>
          <w:sz w:val="24"/>
          <w:szCs w:val="24"/>
        </w:rPr>
        <w:t>Возможные виды воздействия на окружающую среду деятельности</w:t>
      </w:r>
      <w:r w:rsidR="00F24A33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9F4E2D">
        <w:rPr>
          <w:rFonts w:ascii="Times New Roman" w:hAnsi="Times New Roman" w:cs="Times New Roman"/>
          <w:iCs/>
          <w:sz w:val="24"/>
          <w:szCs w:val="24"/>
        </w:rPr>
        <w:t xml:space="preserve">в том числе  по альтернативным вариантам) </w:t>
      </w:r>
      <w:r w:rsidRPr="009F4E2D">
        <w:rPr>
          <w:rFonts w:ascii="Times New Roman" w:hAnsi="Times New Roman" w:cs="Times New Roman"/>
          <w:bCs/>
          <w:sz w:val="24"/>
          <w:szCs w:val="24"/>
        </w:rPr>
        <w:t>отсутствуют</w:t>
      </w:r>
      <w:r w:rsidRPr="009F4E2D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BB244E" w:rsidRPr="009F4E2D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95"/>
      <w:bookmarkEnd w:id="4"/>
      <w:r w:rsidRPr="009F4E2D">
        <w:rPr>
          <w:rFonts w:ascii="Times New Roman" w:hAnsi="Times New Roman" w:cs="Times New Roman"/>
          <w:sz w:val="24"/>
          <w:szCs w:val="24"/>
        </w:rPr>
        <w:t>Для всех рассматриваемых видов ВБР основной мерой регулирования промысла долгие годы является биологически обоснованная величина — общий допустимый улов. Предполагается, что вылов в пределах ОДУ не препятствует расширенному воспроизводству, способствует поддержанию продукционных свойств запаса на высоком уровне и таким образом не наносит вред популяциям.</w:t>
      </w:r>
    </w:p>
    <w:p w:rsidR="00BB244E" w:rsidRPr="00622DB1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>Оценка текущего и перспективного состояния запасов ВБР, обоснование ОДУ выполняется в строгом соответствии с приказом Росрыболовства от 06.02.2015 г. № 104 на основе концепции «предосторожного» подхода.</w:t>
      </w: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DB1">
        <w:rPr>
          <w:rFonts w:ascii="Times New Roman" w:hAnsi="Times New Roman" w:cs="Times New Roman"/>
          <w:i/>
          <w:sz w:val="24"/>
          <w:szCs w:val="24"/>
        </w:rPr>
        <w:t xml:space="preserve">5. Меры по предотвращению и (или) уменьшению возможного негативного воздействия планируемой (намечаемой) хозяйственной и иной деятельности на </w:t>
      </w:r>
      <w:r w:rsidRPr="00622DB1">
        <w:rPr>
          <w:rFonts w:ascii="Times New Roman" w:hAnsi="Times New Roman" w:cs="Times New Roman"/>
          <w:i/>
          <w:sz w:val="24"/>
          <w:szCs w:val="24"/>
        </w:rPr>
        <w:lastRenderedPageBreak/>
        <w:t>окружающую среду, в том числе по охране атмосферного воздуха, водных объектов,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 и почвенного покрова; по обращению с отходами производства и потребления; по охране недр; по охране объектов растительного и животного мира и среды их обитания, включая объекты растительного и животного мира, занесенные в Красну</w:t>
      </w:r>
      <w:r>
        <w:rPr>
          <w:rFonts w:ascii="Times New Roman" w:hAnsi="Times New Roman" w:cs="Times New Roman"/>
          <w:i/>
          <w:sz w:val="24"/>
          <w:szCs w:val="24"/>
        </w:rPr>
        <w:t>ю книгу Российской Федерации и К</w:t>
      </w:r>
      <w:r w:rsidRPr="00622DB1">
        <w:rPr>
          <w:rFonts w:ascii="Times New Roman" w:hAnsi="Times New Roman" w:cs="Times New Roman"/>
          <w:i/>
          <w:sz w:val="24"/>
          <w:szCs w:val="24"/>
        </w:rPr>
        <w:t>расные книги субъектов Российской Федерации; по минимизации возникновения возможных аварийных ситуаций и последствий их воздействия на окружающую среду.</w:t>
      </w:r>
    </w:p>
    <w:p w:rsidR="00BB244E" w:rsidRPr="009F4E2D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 xml:space="preserve">В представленных на рассмотрение материалах приводятся научно-обоснованные величины ОДУ водных биологических ресурсов. </w:t>
      </w:r>
    </w:p>
    <w:p w:rsid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DB1">
        <w:rPr>
          <w:rFonts w:ascii="Times New Roman" w:hAnsi="Times New Roman" w:cs="Times New Roman"/>
          <w:i/>
          <w:sz w:val="24"/>
          <w:szCs w:val="24"/>
        </w:rPr>
        <w:t>6. Предложения по мероприятиям производственного экологического контроля и мониторинга окружающей среды.</w:t>
      </w:r>
    </w:p>
    <w:p w:rsidR="00BB244E" w:rsidRPr="009F4E2D" w:rsidRDefault="00BB244E" w:rsidP="00BB2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>Производственный экологический контроль и мониторинг окружающей среды изъятия водных биоресурсов в объемах ОДУ осуществляется в соответствии</w:t>
      </w:r>
      <w:r w:rsidRPr="009F4E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4E2D">
        <w:rPr>
          <w:rFonts w:ascii="Times New Roman" w:hAnsi="Times New Roman" w:cs="Times New Roman"/>
          <w:sz w:val="24"/>
          <w:szCs w:val="24"/>
        </w:rPr>
        <w:t>программой выполнения работ при осуществлении рыболовства в научно-исследовательских и контрольных</w:t>
      </w:r>
      <w:r w:rsidRPr="009F4E2D">
        <w:t xml:space="preserve"> </w:t>
      </w:r>
      <w:r w:rsidRPr="009F4E2D">
        <w:rPr>
          <w:rFonts w:ascii="Times New Roman" w:eastAsia="Times New Roman" w:hAnsi="Times New Roman" w:cs="Times New Roman"/>
          <w:sz w:val="24"/>
          <w:szCs w:val="24"/>
        </w:rPr>
        <w:t>целях, разработанной в соответствии правилами рыболовства Западно-Сибирского рыбохозяйственного бассейна, утвержденными Приказом Министерства сельского хозяйства Российской Федерации от 30.10.2020 № 646</w:t>
      </w:r>
      <w:r w:rsidRPr="009F4E2D">
        <w:rPr>
          <w:rFonts w:ascii="Times New Roman" w:hAnsi="Times New Roman"/>
          <w:sz w:val="24"/>
          <w:szCs w:val="24"/>
        </w:rPr>
        <w:t>.</w:t>
      </w:r>
    </w:p>
    <w:p w:rsidR="00BB244E" w:rsidRPr="00622DB1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D24938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938">
        <w:rPr>
          <w:rFonts w:ascii="Times New Roman" w:hAnsi="Times New Roman" w:cs="Times New Roman"/>
          <w:i/>
          <w:sz w:val="24"/>
          <w:szCs w:val="24"/>
        </w:rPr>
        <w:t>7. Выявленные при проведении оценки воздействия на окружающую среду неопределенности в определении воздействий планируемой (намечаемой) хозяйственной и иной деятельности на окружающую среду, подготовка (при необходимости) предложений по проведению исследований последствий реализации планируемой (намечаемой) хозяйственной и иной деятельности, эффективности выбранных мер по предотвращению и (или) уменьшению воздействия, а также для проверки сделанных прогнозов (послепроектный анализ).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4E2D">
        <w:rPr>
          <w:rFonts w:ascii="Times New Roman" w:hAnsi="Times New Roman" w:cs="Times New Roman"/>
          <w:iCs/>
          <w:sz w:val="24"/>
          <w:szCs w:val="24"/>
        </w:rPr>
        <w:t>При проведении оценки воздействия на окружающую среду неопределенности в определении воздействий планируемой деятельности на окружающую среду не выявлены.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E2D">
        <w:rPr>
          <w:rFonts w:ascii="Times New Roman" w:hAnsi="Times New Roman" w:cs="Times New Roman"/>
          <w:i/>
          <w:sz w:val="24"/>
          <w:szCs w:val="24"/>
        </w:rPr>
        <w:t>8. Обоснование выбора варианта реализации планируемой (намечаемой) хозяйственной и иной деятельности, исходя из рассмотренных альтернатив, а также результатов проведенных исследований.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F4E2D">
        <w:rPr>
          <w:rFonts w:ascii="Times New Roman" w:hAnsi="Times New Roman" w:cs="Times New Roman"/>
          <w:iCs/>
          <w:sz w:val="24"/>
          <w:szCs w:val="24"/>
        </w:rPr>
        <w:t>Заказчиком выбран вариант реализации намечаемой деятельности обоснование установление величины ОДУ в соответствии с научными рекомендациями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9F4E2D">
        <w:rPr>
          <w:rFonts w:ascii="Times New Roman" w:hAnsi="Times New Roman" w:cs="Times New Roman"/>
          <w:iCs/>
          <w:sz w:val="24"/>
          <w:szCs w:val="24"/>
        </w:rPr>
        <w:t xml:space="preserve"> указанными в Материалах ОДУ в целях обеспечения прав пользователей водных биоресурсов и регулирования рыболовства.</w:t>
      </w:r>
    </w:p>
    <w:p w:rsidR="00BB244E" w:rsidRPr="00622DB1" w:rsidRDefault="00BB244E" w:rsidP="00BB24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>Альтернативные варианты достижения цели намечаемой деятельности, не рассматривались.</w:t>
      </w: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622DB1" w:rsidRDefault="00BB244E" w:rsidP="00BB2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DB1">
        <w:rPr>
          <w:rFonts w:ascii="Times New Roman" w:hAnsi="Times New Roman" w:cs="Times New Roman"/>
          <w:i/>
          <w:sz w:val="24"/>
          <w:szCs w:val="24"/>
        </w:rPr>
        <w:t>9. Сведения о проведении общественных обсуждений, направленных на информирование граждан и юридических лиц о планируемой (намечаемой) хозяйственной и иной деятельности и ее возможном воздействии на окружающую среду, с целью обеспечения участия всех заинтересованных лиц (в том числе граждан, общественных организаций (объединений), представителей органов государственной власти, органов местного самоуправления), выявления общественных предпочтений и их учета в процессе проведения оценки воздействия на окружающую среду.</w:t>
      </w:r>
    </w:p>
    <w:p w:rsidR="00BB244E" w:rsidRPr="00BB244E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</w:p>
    <w:p w:rsidR="00BB244E" w:rsidRPr="00D24938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D24938">
        <w:rPr>
          <w:i/>
        </w:rPr>
        <w:t>9.1. Органы местного самоуправления, ответственные за орган</w:t>
      </w:r>
      <w:r>
        <w:rPr>
          <w:i/>
        </w:rPr>
        <w:t>изацию общественного обсуждения</w:t>
      </w:r>
    </w:p>
    <w:p w:rsidR="00BB244E" w:rsidRPr="005422FD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</w:pPr>
      <w:r w:rsidRPr="005422FD">
        <w:lastRenderedPageBreak/>
        <w:t xml:space="preserve">а) в Красноярском крае: администрация </w:t>
      </w:r>
      <w:r w:rsidRPr="005422FD">
        <w:rPr>
          <w:color w:val="000000"/>
        </w:rPr>
        <w:t xml:space="preserve">Таймырского Долгано-Ненецкого муниципального района, </w:t>
      </w:r>
      <w:r w:rsidRPr="005422FD">
        <w:t xml:space="preserve">адрес 647000, г. Дудинка, ул. Советская, д. 35, телефон +7 (39191) 2-84-40, факс  8 (39191) 5-82-07, адрес электронной почты: </w:t>
      </w:r>
      <w:hyperlink r:id="rId19" w:history="1">
        <w:r w:rsidRPr="005422FD">
          <w:rPr>
            <w:rStyle w:val="afa"/>
            <w:lang w:val="en-US"/>
          </w:rPr>
          <w:t>atao</w:t>
        </w:r>
        <w:r w:rsidRPr="005422FD">
          <w:rPr>
            <w:rStyle w:val="afa"/>
          </w:rPr>
          <w:t>@</w:t>
        </w:r>
        <w:r w:rsidRPr="005422FD">
          <w:rPr>
            <w:rStyle w:val="afa"/>
            <w:lang w:val="en-US"/>
          </w:rPr>
          <w:t>taimyr</w:t>
        </w:r>
        <w:r w:rsidRPr="005422FD">
          <w:rPr>
            <w:rStyle w:val="afa"/>
          </w:rPr>
          <w:t>24.</w:t>
        </w:r>
        <w:r w:rsidRPr="005422FD">
          <w:rPr>
            <w:rStyle w:val="afa"/>
            <w:lang w:val="en-US"/>
          </w:rPr>
          <w:t>ru</w:t>
        </w:r>
      </w:hyperlink>
      <w:r w:rsidRPr="005422FD">
        <w:t xml:space="preserve">. Контактное лицо: Верлан Арина Федоровна, тел.  </w:t>
      </w:r>
      <w:r w:rsidR="00E05DB7" w:rsidRPr="005422FD">
        <w:t>+7</w:t>
      </w:r>
      <w:r w:rsidRPr="005422FD">
        <w:t xml:space="preserve"> (39191) 2-85-52, адрес электронной почты: </w:t>
      </w:r>
      <w:r w:rsidRPr="005422FD">
        <w:rPr>
          <w:lang w:val="en-US"/>
        </w:rPr>
        <w:t>ovos</w:t>
      </w:r>
      <w:hyperlink r:id="rId20" w:history="1">
        <w:r w:rsidRPr="005422FD">
          <w:rPr>
            <w:rStyle w:val="afa"/>
          </w:rPr>
          <w:t>@</w:t>
        </w:r>
        <w:r w:rsidRPr="005422FD">
          <w:rPr>
            <w:rStyle w:val="afa"/>
            <w:lang w:val="en-US"/>
          </w:rPr>
          <w:t>taimyr</w:t>
        </w:r>
        <w:r w:rsidRPr="005422FD">
          <w:rPr>
            <w:rStyle w:val="afa"/>
          </w:rPr>
          <w:t>24.</w:t>
        </w:r>
        <w:r w:rsidRPr="005422FD">
          <w:rPr>
            <w:rStyle w:val="afa"/>
            <w:lang w:val="en-US"/>
          </w:rPr>
          <w:t>ru</w:t>
        </w:r>
      </w:hyperlink>
      <w:r w:rsidRPr="005422FD">
        <w:t>;</w:t>
      </w:r>
    </w:p>
    <w:p w:rsidR="00BB244E" w:rsidRPr="00F771AC" w:rsidRDefault="00BB244E" w:rsidP="00BB2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22FD">
        <w:rPr>
          <w:rFonts w:ascii="Times New Roman" w:hAnsi="Times New Roman" w:cs="Times New Roman"/>
          <w:sz w:val="24"/>
          <w:szCs w:val="24"/>
        </w:rPr>
        <w:t xml:space="preserve">б) в Республике Хакасия: администрация Боградского района, адрес 655340, Республика Хакасия, Боградский район, с. Боград, ул. Новая, д. 10, телефон +7 (39034) 9-12-56, адрес электронной почты: </w:t>
      </w:r>
      <w:r w:rsidRPr="005422FD">
        <w:rPr>
          <w:rFonts w:ascii="Times New Roman" w:hAnsi="Times New Roman" w:cs="Times New Roman"/>
          <w:sz w:val="24"/>
          <w:szCs w:val="24"/>
          <w:shd w:val="clear" w:color="auto" w:fill="FFFFFF"/>
        </w:rPr>
        <w:t>admbograd@yandex.ru</w:t>
      </w:r>
      <w:r w:rsidRPr="005422FD">
        <w:rPr>
          <w:rFonts w:ascii="Times New Roman" w:hAnsi="Times New Roman" w:cs="Times New Roman"/>
          <w:sz w:val="24"/>
          <w:szCs w:val="24"/>
        </w:rPr>
        <w:t xml:space="preserve">. Контактное лицо: Костохина Екатерина Владимировна, тел. </w:t>
      </w:r>
      <w:r w:rsidR="00E05DB7" w:rsidRPr="005422FD">
        <w:rPr>
          <w:rFonts w:ascii="Times New Roman" w:hAnsi="Times New Roman" w:cs="Times New Roman"/>
          <w:sz w:val="24"/>
          <w:szCs w:val="24"/>
        </w:rPr>
        <w:t>+7</w:t>
      </w:r>
      <w:r w:rsidRPr="005422FD">
        <w:rPr>
          <w:rFonts w:ascii="Times New Roman" w:hAnsi="Times New Roman" w:cs="Times New Roman"/>
          <w:sz w:val="24"/>
          <w:szCs w:val="24"/>
        </w:rPr>
        <w:t xml:space="preserve"> (39034) 9-12-56, адрес электронной почты: </w:t>
      </w:r>
      <w:r w:rsidRPr="005422FD">
        <w:rPr>
          <w:rFonts w:ascii="Times New Roman" w:hAnsi="Times New Roman" w:cs="Times New Roman"/>
          <w:sz w:val="24"/>
          <w:szCs w:val="24"/>
          <w:shd w:val="clear" w:color="auto" w:fill="FFFFFF"/>
        </w:rPr>
        <w:t>admbograd@yandex.ru.</w:t>
      </w:r>
    </w:p>
    <w:p w:rsidR="00BB244E" w:rsidRPr="00F771AC" w:rsidRDefault="00BB244E" w:rsidP="00BB244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</w:p>
    <w:p w:rsidR="00BB244E" w:rsidRPr="00D24938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4938">
        <w:rPr>
          <w:rFonts w:ascii="Times New Roman" w:hAnsi="Times New Roman" w:cs="Times New Roman"/>
          <w:i/>
          <w:sz w:val="24"/>
          <w:szCs w:val="24"/>
        </w:rPr>
        <w:t>9.2. Техническое задание не предусмотрено.</w:t>
      </w: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BB244E" w:rsidRP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0808">
        <w:rPr>
          <w:rFonts w:ascii="Times New Roman" w:hAnsi="Times New Roman" w:cs="Times New Roman"/>
          <w:i/>
          <w:sz w:val="24"/>
          <w:szCs w:val="24"/>
        </w:rPr>
        <w:t xml:space="preserve">9.3 Информирование общественности реализовано через публикации на официальных сайтах </w:t>
      </w:r>
    </w:p>
    <w:p w:rsidR="00BB244E" w:rsidRP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733A">
        <w:rPr>
          <w:rFonts w:ascii="Times New Roman" w:hAnsi="Times New Roman" w:cs="Times New Roman"/>
          <w:sz w:val="24"/>
          <w:szCs w:val="24"/>
        </w:rPr>
        <w:t xml:space="preserve">а) </w:t>
      </w:r>
      <w:r w:rsidRPr="00130195">
        <w:rPr>
          <w:rFonts w:ascii="Times New Roman" w:hAnsi="Times New Roman" w:cs="Times New Roman"/>
          <w:sz w:val="24"/>
          <w:szCs w:val="24"/>
        </w:rPr>
        <w:t>на муниципальном уровне</w:t>
      </w:r>
      <w:r w:rsidR="00E05DB7" w:rsidRPr="00130195">
        <w:rPr>
          <w:rFonts w:ascii="Times New Roman" w:hAnsi="Times New Roman" w:cs="Times New Roman"/>
          <w:sz w:val="24"/>
          <w:szCs w:val="24"/>
        </w:rPr>
        <w:t xml:space="preserve"> </w:t>
      </w:r>
      <w:r w:rsidRPr="00130195">
        <w:rPr>
          <w:rFonts w:ascii="Times New Roman" w:hAnsi="Times New Roman" w:cs="Times New Roman"/>
          <w:sz w:val="24"/>
          <w:szCs w:val="24"/>
        </w:rPr>
        <w:t xml:space="preserve">— на официальных сайтах муниципальных образований Красноярского края: Таймырского Долгано-Ненецкого муниципального района – 17 марта 2022 г., Эвенкийского муниципального района – 17 марта 2022 г., Туруханского района – </w:t>
      </w:r>
      <w:r w:rsidR="00E05DB7" w:rsidRPr="00130195">
        <w:rPr>
          <w:rFonts w:ascii="Times New Roman" w:hAnsi="Times New Roman" w:cs="Times New Roman"/>
          <w:sz w:val="24"/>
          <w:szCs w:val="24"/>
        </w:rPr>
        <w:t>17 марта 2022 г.,</w:t>
      </w:r>
      <w:r w:rsidRPr="00130195">
        <w:rPr>
          <w:rFonts w:ascii="Times New Roman" w:hAnsi="Times New Roman" w:cs="Times New Roman"/>
          <w:sz w:val="24"/>
          <w:szCs w:val="24"/>
        </w:rPr>
        <w:t xml:space="preserve"> Енисейского района – 16 марта 2022 г.,  Балахтинского района – </w:t>
      </w:r>
      <w:r w:rsidR="00E05DB7" w:rsidRPr="00130195">
        <w:rPr>
          <w:rFonts w:ascii="Times New Roman" w:hAnsi="Times New Roman" w:cs="Times New Roman"/>
          <w:sz w:val="24"/>
          <w:szCs w:val="24"/>
        </w:rPr>
        <w:t>14 марта 2022 г.</w:t>
      </w:r>
      <w:r w:rsidRPr="00130195">
        <w:rPr>
          <w:rFonts w:ascii="Times New Roman" w:hAnsi="Times New Roman" w:cs="Times New Roman"/>
          <w:sz w:val="24"/>
          <w:szCs w:val="24"/>
        </w:rPr>
        <w:t xml:space="preserve">, Новоселовского района – 16 марта 2022 г., Краснотуранского района – 16 марта 2022 г.; на официальных сайтах муниципальных образований Республики Хакасия: Боградского района – </w:t>
      </w:r>
      <w:r w:rsidR="00E05DB7" w:rsidRPr="00130195">
        <w:rPr>
          <w:rFonts w:ascii="Times New Roman" w:hAnsi="Times New Roman" w:cs="Times New Roman"/>
          <w:sz w:val="24"/>
          <w:szCs w:val="24"/>
        </w:rPr>
        <w:t>11</w:t>
      </w:r>
      <w:r w:rsidRPr="00130195">
        <w:rPr>
          <w:rFonts w:ascii="Times New Roman" w:hAnsi="Times New Roman" w:cs="Times New Roman"/>
          <w:sz w:val="24"/>
          <w:szCs w:val="24"/>
        </w:rPr>
        <w:t xml:space="preserve"> марта 2022 г., Усть-Абаканского района – </w:t>
      </w:r>
      <w:r w:rsidR="00E05DB7" w:rsidRPr="00130195">
        <w:rPr>
          <w:rFonts w:ascii="Times New Roman" w:hAnsi="Times New Roman" w:cs="Times New Roman"/>
          <w:sz w:val="24"/>
          <w:szCs w:val="24"/>
        </w:rPr>
        <w:t>17 марта 2022 г.</w:t>
      </w:r>
      <w:r w:rsidRPr="00130195">
        <w:rPr>
          <w:rFonts w:ascii="Times New Roman" w:hAnsi="Times New Roman" w:cs="Times New Roman"/>
          <w:sz w:val="24"/>
          <w:szCs w:val="24"/>
        </w:rPr>
        <w:t>;</w:t>
      </w:r>
    </w:p>
    <w:p w:rsidR="00BB244E" w:rsidRPr="00160808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195">
        <w:rPr>
          <w:rFonts w:ascii="Times New Roman" w:hAnsi="Times New Roman" w:cs="Times New Roman"/>
          <w:sz w:val="24"/>
          <w:szCs w:val="24"/>
        </w:rPr>
        <w:t xml:space="preserve">б) на региональном уровне — официальном сайте Енисейского межрегионального управления Федеральной службы по надзору в сфере природопользования (Росприроднадзор) – 18 марта 2022 г., Министерства </w:t>
      </w:r>
      <w:r w:rsidR="00130195" w:rsidRPr="00130195">
        <w:rPr>
          <w:rFonts w:ascii="Times New Roman" w:hAnsi="Times New Roman" w:cs="Times New Roman"/>
          <w:sz w:val="24"/>
          <w:szCs w:val="24"/>
        </w:rPr>
        <w:t xml:space="preserve">экологии </w:t>
      </w:r>
      <w:r w:rsidRPr="00130195">
        <w:rPr>
          <w:rFonts w:ascii="Times New Roman" w:hAnsi="Times New Roman" w:cs="Times New Roman"/>
          <w:sz w:val="24"/>
          <w:szCs w:val="24"/>
        </w:rPr>
        <w:t xml:space="preserve">и </w:t>
      </w:r>
      <w:r w:rsidR="00130195">
        <w:rPr>
          <w:rFonts w:ascii="Times New Roman" w:hAnsi="Times New Roman" w:cs="Times New Roman"/>
          <w:sz w:val="24"/>
          <w:szCs w:val="24"/>
        </w:rPr>
        <w:t xml:space="preserve">рационального природопользования </w:t>
      </w:r>
      <w:r w:rsidRPr="00130195">
        <w:rPr>
          <w:rFonts w:ascii="Times New Roman" w:hAnsi="Times New Roman" w:cs="Times New Roman"/>
          <w:sz w:val="24"/>
          <w:szCs w:val="24"/>
        </w:rPr>
        <w:t>Красноярского края – 15 марта 2022 г., Министерства природных ресурсов и экологии Республики Хакасия – 14 марта 2022 г.;</w:t>
      </w:r>
    </w:p>
    <w:p w:rsidR="00BB244E" w:rsidRPr="001C5697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697">
        <w:rPr>
          <w:rFonts w:ascii="Times New Roman" w:hAnsi="Times New Roman" w:cs="Times New Roman"/>
          <w:sz w:val="24"/>
          <w:szCs w:val="24"/>
        </w:rPr>
        <w:t>в) на федеральном уровне — официальном сайте Федеральной службы по надзору в сфере природопользования – 18 марта 2022 г., учетный номер заявки 17-03-2022-17;</w:t>
      </w:r>
    </w:p>
    <w:p w:rsid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697">
        <w:rPr>
          <w:rFonts w:ascii="Times New Roman" w:hAnsi="Times New Roman" w:cs="Times New Roman"/>
          <w:sz w:val="24"/>
          <w:szCs w:val="24"/>
        </w:rPr>
        <w:t>г) официальном сайте исполнителя — Красноярского филиала ФГБНУ «ВНИРО» – 15 марта 2022 г.</w:t>
      </w:r>
    </w:p>
    <w:p w:rsidR="00BB244E" w:rsidRPr="008F5F74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1C5697" w:rsidRDefault="00BB244E" w:rsidP="00BB244E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P115"/>
      <w:bookmarkEnd w:id="5"/>
      <w:r w:rsidRPr="001C5697">
        <w:rPr>
          <w:rFonts w:ascii="Times New Roman" w:eastAsia="Times New Roman" w:hAnsi="Times New Roman" w:cs="Times New Roman"/>
          <w:sz w:val="24"/>
          <w:szCs w:val="24"/>
        </w:rPr>
        <w:t>Форма общественного обсуждения – письменный опрос. Форма представления замечаний – письменная.</w:t>
      </w:r>
    </w:p>
    <w:p w:rsidR="00BB244E" w:rsidRPr="001C5697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C5697">
        <w:rPr>
          <w:color w:val="000000"/>
        </w:rPr>
        <w:t>В Красноярском крае опрос проводится в Таймырском Долгано-Ненецком муниципальном районе по согласованию с заинтересованными муниципальными образованиями Красноярского края;</w:t>
      </w:r>
    </w:p>
    <w:p w:rsidR="00BB244E" w:rsidRPr="001C5697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C5697">
        <w:rPr>
          <w:color w:val="000000"/>
        </w:rPr>
        <w:t xml:space="preserve"> В  Республике Хакасия опрос проводится в Боградском районе по согласованию с заинтересованными муниципальными образованиями Республики Хакасия.</w:t>
      </w:r>
    </w:p>
    <w:p w:rsidR="00BB244E" w:rsidRPr="001C5697" w:rsidRDefault="00BB244E" w:rsidP="00BB244E">
      <w:pPr>
        <w:pStyle w:val="af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C5697">
        <w:rPr>
          <w:color w:val="000000"/>
        </w:rPr>
        <w:t xml:space="preserve">В Красноярском крае опросный лист можно получить: </w:t>
      </w:r>
      <w:r w:rsidRPr="001C5697">
        <w:t>в МБУК «Дудинская централизованная библиотечная система» по адресу: Красноярский край, г. Дудинка, ул. Матросова, д. 8 А, читальный зал (понедельник – пятница, с 11-00 до 20-00 часов)</w:t>
      </w:r>
      <w:r w:rsidRPr="001C5697">
        <w:rPr>
          <w:rStyle w:val="apple-converted-space"/>
        </w:rPr>
        <w:t xml:space="preserve"> </w:t>
      </w:r>
      <w:r w:rsidRPr="001C5697">
        <w:t>или распечатать с сайта органов местного самоуправления</w:t>
      </w:r>
      <w:r w:rsidRPr="001C5697">
        <w:rPr>
          <w:color w:val="000000"/>
        </w:rPr>
        <w:t xml:space="preserve"> Таймырского Долгано-Ненецкого муниципального района </w:t>
      </w:r>
      <w:hyperlink r:id="rId21" w:history="1">
        <w:r w:rsidRPr="001C5697">
          <w:rPr>
            <w:rStyle w:val="afa"/>
            <w:lang w:val="en-US"/>
          </w:rPr>
          <w:t>http</w:t>
        </w:r>
        <w:r w:rsidRPr="001C5697">
          <w:rPr>
            <w:rStyle w:val="afa"/>
          </w:rPr>
          <w:t>://</w:t>
        </w:r>
        <w:r w:rsidRPr="001C5697">
          <w:rPr>
            <w:rStyle w:val="afa"/>
            <w:lang w:val="en-US"/>
          </w:rPr>
          <w:t>www</w:t>
        </w:r>
        <w:r w:rsidRPr="001C5697">
          <w:rPr>
            <w:rStyle w:val="afa"/>
          </w:rPr>
          <w:t>.</w:t>
        </w:r>
        <w:r w:rsidRPr="001C5697">
          <w:rPr>
            <w:rStyle w:val="afa"/>
            <w:lang w:val="en-US"/>
          </w:rPr>
          <w:t>taimyr</w:t>
        </w:r>
        <w:r w:rsidRPr="001C5697">
          <w:rPr>
            <w:rStyle w:val="afa"/>
          </w:rPr>
          <w:t>24.</w:t>
        </w:r>
        <w:r w:rsidRPr="001C5697">
          <w:rPr>
            <w:rStyle w:val="afa"/>
            <w:lang w:val="en-US"/>
          </w:rPr>
          <w:t>ru</w:t>
        </w:r>
      </w:hyperlink>
      <w:r w:rsidRPr="001C5697">
        <w:t xml:space="preserve"> в разделе «Общественные обсуждения» в подразделе «Реестр объектов общественных обсуждений».</w:t>
      </w:r>
    </w:p>
    <w:p w:rsidR="00BB244E" w:rsidRPr="001C5697" w:rsidRDefault="00BB244E" w:rsidP="00BB2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697">
        <w:rPr>
          <w:rFonts w:ascii="Times New Roman" w:hAnsi="Times New Roman" w:cs="Times New Roman"/>
          <w:sz w:val="24"/>
          <w:szCs w:val="24"/>
        </w:rPr>
        <w:t xml:space="preserve">В Республике Хакасия </w:t>
      </w:r>
      <w:r w:rsidRPr="001C5697">
        <w:rPr>
          <w:rFonts w:ascii="Times New Roman" w:hAnsi="Times New Roman" w:cs="Times New Roman"/>
          <w:color w:val="000000"/>
          <w:sz w:val="24"/>
          <w:szCs w:val="24"/>
        </w:rPr>
        <w:t xml:space="preserve">опросный лист можно получить: </w:t>
      </w:r>
      <w:r w:rsidRPr="001C5697">
        <w:rPr>
          <w:rFonts w:ascii="Times New Roman" w:hAnsi="Times New Roman" w:cs="Times New Roman"/>
          <w:sz w:val="24"/>
          <w:szCs w:val="24"/>
        </w:rPr>
        <w:t xml:space="preserve">в приемной  администрации Боградского района по адресу: 655340, Республика Хакасия, Боградский район, с. Боград, ул. Новая, д. 10 (понедельник – пятница, с 8-00 до 16-00 часов), в электронном виде по электронной почте admbograd@yandex.ru или распечатать с сайта </w:t>
      </w:r>
      <w:hyperlink r:id="rId22" w:history="1">
        <w:r w:rsidRPr="001C5697">
          <w:rPr>
            <w:rStyle w:val="afa"/>
            <w:rFonts w:ascii="Times New Roman" w:hAnsi="Times New Roman" w:cs="Times New Roman"/>
            <w:sz w:val="24"/>
            <w:szCs w:val="24"/>
          </w:rPr>
          <w:t>http://www.bograd-web.ru</w:t>
        </w:r>
      </w:hyperlink>
      <w:r w:rsidRPr="001C5697">
        <w:rPr>
          <w:rFonts w:ascii="Times New Roman" w:hAnsi="Times New Roman" w:cs="Times New Roman"/>
          <w:sz w:val="24"/>
          <w:szCs w:val="24"/>
        </w:rPr>
        <w:t>, раздел «Объявления/Анонсы».</w:t>
      </w:r>
    </w:p>
    <w:p w:rsidR="00BB244E" w:rsidRPr="001C5697" w:rsidRDefault="00BB244E" w:rsidP="001C5697">
      <w:pPr>
        <w:pStyle w:val="afb"/>
        <w:spacing w:before="0" w:beforeAutospacing="0" w:after="0" w:afterAutospacing="0"/>
        <w:ind w:firstLine="708"/>
        <w:jc w:val="both"/>
      </w:pPr>
      <w:r w:rsidRPr="001C5697">
        <w:lastRenderedPageBreak/>
        <w:t xml:space="preserve">Также опросный лист для заполнения можно распечатать с сайта </w:t>
      </w:r>
      <w:r w:rsidRPr="001C5697">
        <w:rPr>
          <w:color w:val="000000"/>
        </w:rPr>
        <w:t>ФГБНУ «ВНИРО» (Красноярский филиал)</w:t>
      </w:r>
      <w:r w:rsidRPr="001C5697">
        <w:t xml:space="preserve"> </w:t>
      </w:r>
      <w:hyperlink r:id="rId23" w:history="1">
        <w:r w:rsidRPr="001C5697">
          <w:rPr>
            <w:rStyle w:val="afa"/>
          </w:rPr>
          <w:t>http://niierv.vniro.ru</w:t>
        </w:r>
      </w:hyperlink>
      <w:r w:rsidRPr="001C5697">
        <w:t>.</w:t>
      </w:r>
    </w:p>
    <w:p w:rsidR="00BB244E" w:rsidRPr="001C5697" w:rsidRDefault="00BB244E" w:rsidP="001C5697">
      <w:pPr>
        <w:pStyle w:val="afb"/>
        <w:spacing w:before="0" w:beforeAutospacing="0" w:after="0" w:afterAutospacing="0"/>
        <w:ind w:firstLine="708"/>
        <w:jc w:val="both"/>
      </w:pPr>
      <w:r w:rsidRPr="001C5697">
        <w:t xml:space="preserve"> Заполненный и подписанный опросный лист можно направить в электронном виде на электронную почту </w:t>
      </w:r>
      <w:r w:rsidRPr="001C5697">
        <w:rPr>
          <w:color w:val="000000"/>
        </w:rPr>
        <w:t xml:space="preserve">ФГБНУ «ВНИРО» (Красноярский филиал): </w:t>
      </w:r>
      <w:hyperlink r:id="rId24" w:history="1">
        <w:r w:rsidRPr="001C5697">
          <w:rPr>
            <w:rStyle w:val="afa"/>
          </w:rPr>
          <w:t>niierv@vniro.ru</w:t>
        </w:r>
      </w:hyperlink>
      <w:r w:rsidRPr="001C5697">
        <w:t xml:space="preserve">, на  электронную почту Администрации Таймырского Долгано-Ненецкого муниципального района Красноярского края: </w:t>
      </w:r>
      <w:r w:rsidRPr="001C5697">
        <w:rPr>
          <w:lang w:val="en-US"/>
        </w:rPr>
        <w:t>ovos</w:t>
      </w:r>
      <w:hyperlink r:id="rId25" w:history="1">
        <w:r w:rsidRPr="001C5697">
          <w:rPr>
            <w:rStyle w:val="afa"/>
          </w:rPr>
          <w:t>@</w:t>
        </w:r>
        <w:r w:rsidRPr="001C5697">
          <w:rPr>
            <w:rStyle w:val="afa"/>
            <w:lang w:val="en-US"/>
          </w:rPr>
          <w:t>taimyr</w:t>
        </w:r>
        <w:r w:rsidRPr="001C5697">
          <w:rPr>
            <w:rStyle w:val="afa"/>
          </w:rPr>
          <w:t>24.</w:t>
        </w:r>
        <w:r w:rsidRPr="001C5697">
          <w:rPr>
            <w:rStyle w:val="afa"/>
            <w:lang w:val="en-US"/>
          </w:rPr>
          <w:t>ru</w:t>
        </w:r>
      </w:hyperlink>
      <w:r w:rsidRPr="001C5697">
        <w:t xml:space="preserve"> и на электронную почту Администрации Боградского района Республики Хакасия: </w:t>
      </w:r>
      <w:hyperlink r:id="rId26" w:history="1">
        <w:r w:rsidRPr="001C5697">
          <w:rPr>
            <w:rStyle w:val="afa"/>
          </w:rPr>
          <w:t>admbograd@yandex.ru</w:t>
        </w:r>
      </w:hyperlink>
      <w:r w:rsidRPr="001C5697">
        <w:t xml:space="preserve"> </w:t>
      </w:r>
      <w:r w:rsidRPr="001C5697">
        <w:rPr>
          <w:color w:val="000000"/>
        </w:rPr>
        <w:t xml:space="preserve"> с 23 марта </w:t>
      </w:r>
      <w:r w:rsidRPr="001C5697">
        <w:t>2022 г.</w:t>
      </w:r>
      <w:r w:rsidRPr="001C5697">
        <w:rPr>
          <w:color w:val="000000"/>
        </w:rPr>
        <w:t xml:space="preserve"> по 21 апреля </w:t>
      </w:r>
      <w:r w:rsidRPr="001C5697">
        <w:t>2022 г</w:t>
      </w:r>
      <w:r w:rsidRPr="001C5697">
        <w:rPr>
          <w:color w:val="000000"/>
        </w:rPr>
        <w:t>.</w:t>
      </w:r>
    </w:p>
    <w:p w:rsidR="00BB244E" w:rsidRPr="00622DB1" w:rsidRDefault="00BB244E" w:rsidP="001C5697">
      <w:pPr>
        <w:pStyle w:val="afb"/>
        <w:spacing w:before="0" w:beforeAutospacing="0" w:after="0" w:afterAutospacing="0"/>
        <w:ind w:firstLine="708"/>
        <w:jc w:val="both"/>
      </w:pPr>
      <w:r w:rsidRPr="001C5697">
        <w:t xml:space="preserve">Замечания и предложения по экологическим аспектам намечаемой деятельности можно направить в письменной форме по адресу </w:t>
      </w:r>
      <w:r w:rsidRPr="001C5697">
        <w:rPr>
          <w:color w:val="000000"/>
        </w:rPr>
        <w:t>ФГБНУ «ВНИРО» (Красноярский филиал)</w:t>
      </w:r>
      <w:r w:rsidRPr="001C5697">
        <w:t xml:space="preserve">: 660049, </w:t>
      </w:r>
      <w:r w:rsidRPr="001C5697">
        <w:rPr>
          <w:bCs/>
        </w:rPr>
        <w:t>г. Красноярск</w:t>
      </w:r>
      <w:r w:rsidRPr="001C5697">
        <w:t xml:space="preserve">, ул. Парижской Коммуны, д. 33, каб. 501 или на электронный  адрес </w:t>
      </w:r>
      <w:hyperlink r:id="rId27" w:history="1">
        <w:r w:rsidRPr="001C5697">
          <w:rPr>
            <w:rStyle w:val="afa"/>
          </w:rPr>
          <w:t>niierv@vniro.ru</w:t>
        </w:r>
      </w:hyperlink>
      <w:r w:rsidRPr="001C5697">
        <w:t xml:space="preserve">, а также на электронную почту Администрации Таймырского Долгано-Ненецкого муниципального района Красноярского края: </w:t>
      </w:r>
      <w:r w:rsidRPr="001C5697">
        <w:rPr>
          <w:lang w:val="en-US"/>
        </w:rPr>
        <w:t>ovos</w:t>
      </w:r>
      <w:hyperlink r:id="rId28" w:history="1">
        <w:r w:rsidRPr="001C5697">
          <w:rPr>
            <w:rStyle w:val="afa"/>
          </w:rPr>
          <w:t>@</w:t>
        </w:r>
        <w:r w:rsidRPr="001C5697">
          <w:rPr>
            <w:rStyle w:val="afa"/>
            <w:lang w:val="en-US"/>
          </w:rPr>
          <w:t>taimyr</w:t>
        </w:r>
        <w:r w:rsidRPr="001C5697">
          <w:rPr>
            <w:rStyle w:val="afa"/>
          </w:rPr>
          <w:t>24.</w:t>
        </w:r>
        <w:r w:rsidRPr="001C5697">
          <w:rPr>
            <w:rStyle w:val="afa"/>
            <w:lang w:val="en-US"/>
          </w:rPr>
          <w:t>ru</w:t>
        </w:r>
      </w:hyperlink>
      <w:r w:rsidRPr="001C5697">
        <w:t xml:space="preserve"> и на электронную почту Администрации Боградского района Республики Хакасия: admbograd@yandex.ru.</w:t>
      </w: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22DB1">
        <w:rPr>
          <w:rFonts w:ascii="Times New Roman" w:hAnsi="Times New Roman" w:cs="Times New Roman"/>
          <w:sz w:val="24"/>
          <w:szCs w:val="24"/>
        </w:rPr>
        <w:t xml:space="preserve">10. </w:t>
      </w:r>
      <w:r w:rsidRPr="00622DB1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оценки </w:t>
      </w:r>
      <w:r w:rsidR="00E05DB7">
        <w:rPr>
          <w:rFonts w:ascii="Times New Roman" w:hAnsi="Times New Roman" w:cs="Times New Roman"/>
          <w:i/>
          <w:iCs/>
          <w:sz w:val="24"/>
          <w:szCs w:val="24"/>
        </w:rPr>
        <w:t>воздействия на окружающую среду</w:t>
      </w:r>
    </w:p>
    <w:p w:rsidR="00BB244E" w:rsidRPr="001C5697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697">
        <w:rPr>
          <w:rFonts w:ascii="Times New Roman" w:hAnsi="Times New Roman" w:cs="Times New Roman"/>
          <w:sz w:val="24"/>
          <w:szCs w:val="24"/>
        </w:rPr>
        <w:t>Намечаемая деятельность (обоснование ОДУ) непосредственное воздействие на объекты окружающей среды (атмосферный воздух, на водную среду, геологическую среду и др.) не оказывает. В свою очередь добыча (вылов) водных биоресурсов  в рекомендованных объемах ОДУ указанных в «Материалах, обосновывающих общие допустимые уловы во внутренних водах Красноярского края и Республики Хакасия, за исключением внутренних морских вод, на 2023 г. (с оценкой воздействия на окружающую среду)» не нанесет ущерба водным биоресурсам и окружающей среде.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697">
        <w:rPr>
          <w:rFonts w:ascii="Times New Roman" w:hAnsi="Times New Roman" w:cs="Times New Roman"/>
          <w:sz w:val="24"/>
          <w:szCs w:val="24"/>
        </w:rPr>
        <w:t>С учетом того, что «нулевой» вариант – отказ от намечаемой деятельности</w:t>
      </w:r>
      <w:r w:rsidRPr="009F4E2D">
        <w:rPr>
          <w:rFonts w:ascii="Times New Roman" w:hAnsi="Times New Roman" w:cs="Times New Roman"/>
          <w:sz w:val="24"/>
          <w:szCs w:val="24"/>
        </w:rPr>
        <w:t xml:space="preserve"> не </w:t>
      </w:r>
      <w:bookmarkStart w:id="6" w:name="_GoBack"/>
      <w:bookmarkEnd w:id="6"/>
      <w:r w:rsidRPr="009F4E2D">
        <w:rPr>
          <w:rFonts w:ascii="Times New Roman" w:hAnsi="Times New Roman" w:cs="Times New Roman"/>
          <w:sz w:val="24"/>
          <w:szCs w:val="24"/>
        </w:rPr>
        <w:t>рассматривается, как несоответствующий законодательству в области рыболовства, выбран вариант разработки материалов ОДУ на 2023 год для целей регулирования рыболовства.</w:t>
      </w: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DB1">
        <w:rPr>
          <w:rFonts w:ascii="Times New Roman" w:hAnsi="Times New Roman" w:cs="Times New Roman"/>
          <w:sz w:val="24"/>
          <w:szCs w:val="24"/>
        </w:rPr>
        <w:t xml:space="preserve">11. </w:t>
      </w:r>
      <w:r w:rsidRPr="00622DB1">
        <w:rPr>
          <w:rFonts w:ascii="Times New Roman" w:hAnsi="Times New Roman" w:cs="Times New Roman"/>
          <w:i/>
          <w:sz w:val="24"/>
          <w:szCs w:val="24"/>
        </w:rPr>
        <w:t>Резюме нетехнического характера</w:t>
      </w:r>
    </w:p>
    <w:p w:rsidR="00BB244E" w:rsidRPr="00BB244E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>Представленные материалы ОВОС являются документом, обобщающим результаты исследований по оценке воздействия намечаемой деятельности (научное обоснование общего объема водных биологических ресурсов) в Западно-Сибирском рыбохозяйственном бассейне.</w:t>
      </w:r>
    </w:p>
    <w:p w:rsidR="00BB244E" w:rsidRPr="009F4E2D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2D">
        <w:rPr>
          <w:rFonts w:ascii="Times New Roman" w:hAnsi="Times New Roman" w:cs="Times New Roman"/>
          <w:sz w:val="24"/>
          <w:szCs w:val="24"/>
        </w:rPr>
        <w:t>Основной мерой регулирования промысла является биологически обоснованная величина – общий допустимый улов (ОДУ).</w:t>
      </w:r>
      <w:r w:rsidRPr="00BB244E">
        <w:rPr>
          <w:rFonts w:ascii="Times New Roman" w:hAnsi="Times New Roman" w:cs="Times New Roman"/>
          <w:sz w:val="24"/>
          <w:szCs w:val="24"/>
        </w:rPr>
        <w:t xml:space="preserve"> </w:t>
      </w:r>
      <w:r w:rsidRPr="009F4E2D">
        <w:rPr>
          <w:rFonts w:ascii="Times New Roman" w:hAnsi="Times New Roman" w:cs="Times New Roman"/>
          <w:sz w:val="24"/>
          <w:szCs w:val="24"/>
        </w:rPr>
        <w:t>Согласно выполненной оценке потенциального воздействия на окружающую среду при реализации намечаемой деятельности (обоснование объемов  ОДУ водных биологических ресурсов на 2023 год) негативное воздействие на водные биоресурсы и окружающую среду не ожидается.</w:t>
      </w:r>
    </w:p>
    <w:p w:rsidR="00BB244E" w:rsidRPr="00622DB1" w:rsidRDefault="00BB244E" w:rsidP="00BB244E">
      <w:pPr>
        <w:pStyle w:val="af4"/>
        <w:spacing w:after="0"/>
        <w:rPr>
          <w:highlight w:val="cyan"/>
        </w:rPr>
      </w:pPr>
    </w:p>
    <w:p w:rsidR="00BB244E" w:rsidRPr="00622DB1" w:rsidRDefault="00BB244E" w:rsidP="00BB244E">
      <w:pPr>
        <w:pStyle w:val="af4"/>
        <w:spacing w:after="0"/>
        <w:rPr>
          <w:highlight w:val="cyan"/>
        </w:rPr>
      </w:pPr>
    </w:p>
    <w:p w:rsidR="00BB244E" w:rsidRPr="00622DB1" w:rsidRDefault="00BB244E" w:rsidP="00BB244E">
      <w:pPr>
        <w:pStyle w:val="af4"/>
        <w:spacing w:after="0"/>
        <w:ind w:left="0"/>
        <w:rPr>
          <w:highlight w:val="cyan"/>
        </w:rPr>
      </w:pPr>
    </w:p>
    <w:p w:rsidR="00BB244E" w:rsidRPr="00622DB1" w:rsidRDefault="00BB244E" w:rsidP="00BB24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29D" w:rsidRPr="00600664" w:rsidRDefault="00C6629D" w:rsidP="00BB244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6629D" w:rsidRPr="00600664" w:rsidSect="00BB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960" w:rsidRDefault="00D32960">
      <w:pPr>
        <w:spacing w:after="0" w:line="240" w:lineRule="auto"/>
      </w:pPr>
      <w:r>
        <w:separator/>
      </w:r>
    </w:p>
  </w:endnote>
  <w:endnote w:type="continuationSeparator" w:id="1">
    <w:p w:rsidR="00D32960" w:rsidRDefault="00D32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FD" w:rsidRDefault="005422FD" w:rsidP="00F61AC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422FD" w:rsidRDefault="005422F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960" w:rsidRDefault="00D32960">
      <w:pPr>
        <w:spacing w:after="0" w:line="240" w:lineRule="auto"/>
      </w:pPr>
      <w:r>
        <w:separator/>
      </w:r>
    </w:p>
  </w:footnote>
  <w:footnote w:type="continuationSeparator" w:id="1">
    <w:p w:rsidR="00D32960" w:rsidRDefault="00D329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89"/>
        </w:tabs>
      </w:pPr>
    </w:lvl>
  </w:abstractNum>
  <w:abstractNum w:abstractNumId="1">
    <w:nsid w:val="0B2C4730"/>
    <w:multiLevelType w:val="hybridMultilevel"/>
    <w:tmpl w:val="54083CC4"/>
    <w:lvl w:ilvl="0" w:tplc="AF5AC5B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0DA060B3"/>
    <w:multiLevelType w:val="hybridMultilevel"/>
    <w:tmpl w:val="D6B69094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3">
    <w:nsid w:val="0F294566"/>
    <w:multiLevelType w:val="hybridMultilevel"/>
    <w:tmpl w:val="06D461D0"/>
    <w:lvl w:ilvl="0" w:tplc="C7F4660A">
      <w:start w:val="2006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A00853"/>
    <w:multiLevelType w:val="hybridMultilevel"/>
    <w:tmpl w:val="25D0FAB6"/>
    <w:lvl w:ilvl="0" w:tplc="9D8813B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3E0FCE"/>
    <w:multiLevelType w:val="hybridMultilevel"/>
    <w:tmpl w:val="BDD64CFA"/>
    <w:lvl w:ilvl="0" w:tplc="6038CB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0139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C132BD9"/>
    <w:multiLevelType w:val="hybridMultilevel"/>
    <w:tmpl w:val="43847E16"/>
    <w:lvl w:ilvl="0" w:tplc="8E98EE22">
      <w:start w:val="118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E73676B"/>
    <w:multiLevelType w:val="hybridMultilevel"/>
    <w:tmpl w:val="00A4F038"/>
    <w:lvl w:ilvl="0" w:tplc="3EAE2858">
      <w:start w:val="117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016282B"/>
    <w:multiLevelType w:val="hybridMultilevel"/>
    <w:tmpl w:val="6CA2F33E"/>
    <w:lvl w:ilvl="0" w:tplc="E1A04E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315A36"/>
    <w:multiLevelType w:val="hybridMultilevel"/>
    <w:tmpl w:val="BE86A96C"/>
    <w:lvl w:ilvl="0" w:tplc="45A4FEB2">
      <w:start w:val="146"/>
      <w:numFmt w:val="decimal"/>
      <w:lvlText w:val="%1"/>
      <w:lvlJc w:val="left"/>
      <w:pPr>
        <w:tabs>
          <w:tab w:val="num" w:pos="1050"/>
        </w:tabs>
        <w:ind w:left="105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1">
    <w:nsid w:val="24A17EAE"/>
    <w:multiLevelType w:val="hybridMultilevel"/>
    <w:tmpl w:val="5904860A"/>
    <w:lvl w:ilvl="0" w:tplc="ABB6F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83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E6D1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44C3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B8FB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F02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6C4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889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6FE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82E32AE"/>
    <w:multiLevelType w:val="hybridMultilevel"/>
    <w:tmpl w:val="9528A8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9F535F"/>
    <w:multiLevelType w:val="hybridMultilevel"/>
    <w:tmpl w:val="0994EDDE"/>
    <w:lvl w:ilvl="0" w:tplc="C700EEA0">
      <w:start w:val="10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8B57FD"/>
    <w:multiLevelType w:val="hybridMultilevel"/>
    <w:tmpl w:val="76947D16"/>
    <w:lvl w:ilvl="0" w:tplc="438A878C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997746"/>
    <w:multiLevelType w:val="hybridMultilevel"/>
    <w:tmpl w:val="3F02A37C"/>
    <w:lvl w:ilvl="0" w:tplc="CBA04D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6760C39"/>
    <w:multiLevelType w:val="hybridMultilevel"/>
    <w:tmpl w:val="D812D83A"/>
    <w:lvl w:ilvl="0" w:tplc="12D00CFE">
      <w:start w:val="12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68E311B"/>
    <w:multiLevelType w:val="hybridMultilevel"/>
    <w:tmpl w:val="31AAA7A2"/>
    <w:lvl w:ilvl="0" w:tplc="C442999A">
      <w:start w:val="119"/>
      <w:numFmt w:val="decimal"/>
      <w:lvlText w:val="%1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75A2CD8"/>
    <w:multiLevelType w:val="hybridMultilevel"/>
    <w:tmpl w:val="FB3CBFCE"/>
    <w:lvl w:ilvl="0" w:tplc="170C9260">
      <w:start w:val="11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123820"/>
    <w:multiLevelType w:val="hybridMultilevel"/>
    <w:tmpl w:val="A51E0D62"/>
    <w:lvl w:ilvl="0" w:tplc="DF9A9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84B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4B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4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E80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C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A1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A7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00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CF92CB2"/>
    <w:multiLevelType w:val="hybridMultilevel"/>
    <w:tmpl w:val="DD2C5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1C2412"/>
    <w:multiLevelType w:val="hybridMultilevel"/>
    <w:tmpl w:val="47E8104C"/>
    <w:lvl w:ilvl="0" w:tplc="D09C90AA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53E415DC"/>
    <w:multiLevelType w:val="hybridMultilevel"/>
    <w:tmpl w:val="7958829C"/>
    <w:lvl w:ilvl="0" w:tplc="04190001">
      <w:start w:val="200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227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C377398"/>
    <w:multiLevelType w:val="hybridMultilevel"/>
    <w:tmpl w:val="89FE4E10"/>
    <w:lvl w:ilvl="0" w:tplc="406271C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01F3DCE"/>
    <w:multiLevelType w:val="hybridMultilevel"/>
    <w:tmpl w:val="97424F38"/>
    <w:lvl w:ilvl="0" w:tplc="0ACED29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618"/>
    <w:multiLevelType w:val="hybridMultilevel"/>
    <w:tmpl w:val="2196D37C"/>
    <w:lvl w:ilvl="0" w:tplc="44049A4E">
      <w:start w:val="12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6B9B7522"/>
    <w:multiLevelType w:val="hybridMultilevel"/>
    <w:tmpl w:val="AC802F46"/>
    <w:lvl w:ilvl="0" w:tplc="6C28A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EF131F"/>
    <w:multiLevelType w:val="hybridMultilevel"/>
    <w:tmpl w:val="2188CA68"/>
    <w:lvl w:ilvl="0" w:tplc="0EBE059A">
      <w:start w:val="119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3DE64AD"/>
    <w:multiLevelType w:val="hybridMultilevel"/>
    <w:tmpl w:val="1C926602"/>
    <w:lvl w:ilvl="0" w:tplc="041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8F94A8E"/>
    <w:multiLevelType w:val="hybridMultilevel"/>
    <w:tmpl w:val="BAFE592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865137"/>
    <w:multiLevelType w:val="hybridMultilevel"/>
    <w:tmpl w:val="0D1E90BA"/>
    <w:lvl w:ilvl="0" w:tplc="995CFF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B52BE8"/>
    <w:multiLevelType w:val="hybridMultilevel"/>
    <w:tmpl w:val="E3385920"/>
    <w:lvl w:ilvl="0" w:tplc="50B0EFFA">
      <w:start w:val="22"/>
      <w:numFmt w:val="decimal"/>
      <w:lvlText w:val="%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30"/>
  </w:num>
  <w:num w:numId="2">
    <w:abstractNumId w:val="12"/>
  </w:num>
  <w:num w:numId="3">
    <w:abstractNumId w:val="22"/>
  </w:num>
  <w:num w:numId="4">
    <w:abstractNumId w:val="3"/>
  </w:num>
  <w:num w:numId="5">
    <w:abstractNumId w:val="20"/>
  </w:num>
  <w:num w:numId="6">
    <w:abstractNumId w:val="6"/>
  </w:num>
  <w:num w:numId="7">
    <w:abstractNumId w:val="29"/>
  </w:num>
  <w:num w:numId="8">
    <w:abstractNumId w:val="2"/>
  </w:num>
  <w:num w:numId="9">
    <w:abstractNumId w:val="32"/>
  </w:num>
  <w:num w:numId="10">
    <w:abstractNumId w:val="9"/>
  </w:num>
  <w:num w:numId="11">
    <w:abstractNumId w:val="13"/>
  </w:num>
  <w:num w:numId="12">
    <w:abstractNumId w:val="23"/>
  </w:num>
  <w:num w:numId="13">
    <w:abstractNumId w:val="5"/>
  </w:num>
  <w:num w:numId="14">
    <w:abstractNumId w:val="25"/>
  </w:num>
  <w:num w:numId="15">
    <w:abstractNumId w:val="10"/>
  </w:num>
  <w:num w:numId="16">
    <w:abstractNumId w:val="0"/>
  </w:num>
  <w:num w:numId="17">
    <w:abstractNumId w:val="31"/>
  </w:num>
  <w:num w:numId="18">
    <w:abstractNumId w:val="8"/>
  </w:num>
  <w:num w:numId="19">
    <w:abstractNumId w:val="7"/>
  </w:num>
  <w:num w:numId="20">
    <w:abstractNumId w:val="18"/>
  </w:num>
  <w:num w:numId="21">
    <w:abstractNumId w:val="28"/>
  </w:num>
  <w:num w:numId="22">
    <w:abstractNumId w:val="17"/>
  </w:num>
  <w:num w:numId="23">
    <w:abstractNumId w:val="14"/>
  </w:num>
  <w:num w:numId="24">
    <w:abstractNumId w:val="16"/>
  </w:num>
  <w:num w:numId="25">
    <w:abstractNumId w:val="26"/>
  </w:num>
  <w:num w:numId="26">
    <w:abstractNumId w:val="21"/>
  </w:num>
  <w:num w:numId="27">
    <w:abstractNumId w:val="11"/>
  </w:num>
  <w:num w:numId="28">
    <w:abstractNumId w:val="19"/>
  </w:num>
  <w:num w:numId="29">
    <w:abstractNumId w:val="4"/>
  </w:num>
  <w:num w:numId="30">
    <w:abstractNumId w:val="24"/>
  </w:num>
  <w:num w:numId="31">
    <w:abstractNumId w:val="15"/>
  </w:num>
  <w:num w:numId="32">
    <w:abstractNumId w:val="27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5810"/>
    <w:rsid w:val="00006F42"/>
    <w:rsid w:val="00014B8D"/>
    <w:rsid w:val="000150CF"/>
    <w:rsid w:val="000157A8"/>
    <w:rsid w:val="000268A9"/>
    <w:rsid w:val="0005236E"/>
    <w:rsid w:val="00053A17"/>
    <w:rsid w:val="00054EDF"/>
    <w:rsid w:val="0006088A"/>
    <w:rsid w:val="00070AAE"/>
    <w:rsid w:val="00072EDE"/>
    <w:rsid w:val="00074584"/>
    <w:rsid w:val="00075F40"/>
    <w:rsid w:val="00087275"/>
    <w:rsid w:val="000968C6"/>
    <w:rsid w:val="000A4A2F"/>
    <w:rsid w:val="000B4072"/>
    <w:rsid w:val="000B54C6"/>
    <w:rsid w:val="000D03C9"/>
    <w:rsid w:val="000E609C"/>
    <w:rsid w:val="00101FC9"/>
    <w:rsid w:val="001203D4"/>
    <w:rsid w:val="001211A3"/>
    <w:rsid w:val="00130195"/>
    <w:rsid w:val="001317A0"/>
    <w:rsid w:val="0013196D"/>
    <w:rsid w:val="0013371A"/>
    <w:rsid w:val="00135155"/>
    <w:rsid w:val="00155E0C"/>
    <w:rsid w:val="00180790"/>
    <w:rsid w:val="00182AA1"/>
    <w:rsid w:val="001979A8"/>
    <w:rsid w:val="001A0032"/>
    <w:rsid w:val="001A0898"/>
    <w:rsid w:val="001A1417"/>
    <w:rsid w:val="001A2CF5"/>
    <w:rsid w:val="001A2E1B"/>
    <w:rsid w:val="001A2EE4"/>
    <w:rsid w:val="001B4723"/>
    <w:rsid w:val="001B6578"/>
    <w:rsid w:val="001B6770"/>
    <w:rsid w:val="001C544D"/>
    <w:rsid w:val="001C5697"/>
    <w:rsid w:val="001C6A47"/>
    <w:rsid w:val="001E6650"/>
    <w:rsid w:val="001F12A1"/>
    <w:rsid w:val="001F41AA"/>
    <w:rsid w:val="0020025E"/>
    <w:rsid w:val="00202BD6"/>
    <w:rsid w:val="00203698"/>
    <w:rsid w:val="002133E9"/>
    <w:rsid w:val="0021394B"/>
    <w:rsid w:val="00216407"/>
    <w:rsid w:val="002237B4"/>
    <w:rsid w:val="00272B2B"/>
    <w:rsid w:val="00273098"/>
    <w:rsid w:val="002A0F8B"/>
    <w:rsid w:val="002A275F"/>
    <w:rsid w:val="002B254D"/>
    <w:rsid w:val="002B7FEA"/>
    <w:rsid w:val="002C055C"/>
    <w:rsid w:val="002C1C57"/>
    <w:rsid w:val="002C57D9"/>
    <w:rsid w:val="002C6DA1"/>
    <w:rsid w:val="002D26AA"/>
    <w:rsid w:val="002E6D1D"/>
    <w:rsid w:val="002F25FD"/>
    <w:rsid w:val="002F2826"/>
    <w:rsid w:val="0030001F"/>
    <w:rsid w:val="003118C7"/>
    <w:rsid w:val="00330105"/>
    <w:rsid w:val="003326D0"/>
    <w:rsid w:val="003472A0"/>
    <w:rsid w:val="003606D8"/>
    <w:rsid w:val="00367795"/>
    <w:rsid w:val="00370844"/>
    <w:rsid w:val="00386CD3"/>
    <w:rsid w:val="003875EC"/>
    <w:rsid w:val="00392DB5"/>
    <w:rsid w:val="00394D6B"/>
    <w:rsid w:val="00394E88"/>
    <w:rsid w:val="003951C7"/>
    <w:rsid w:val="00395F04"/>
    <w:rsid w:val="003A74CF"/>
    <w:rsid w:val="003C2B5B"/>
    <w:rsid w:val="003C3F1E"/>
    <w:rsid w:val="003E7684"/>
    <w:rsid w:val="003F0CDA"/>
    <w:rsid w:val="003F5CE6"/>
    <w:rsid w:val="00412B48"/>
    <w:rsid w:val="0041499D"/>
    <w:rsid w:val="00420A2D"/>
    <w:rsid w:val="004215E6"/>
    <w:rsid w:val="00430AFA"/>
    <w:rsid w:val="00431A24"/>
    <w:rsid w:val="004536AB"/>
    <w:rsid w:val="00461CEC"/>
    <w:rsid w:val="004642EA"/>
    <w:rsid w:val="00476CED"/>
    <w:rsid w:val="0048163F"/>
    <w:rsid w:val="004836BB"/>
    <w:rsid w:val="004968DA"/>
    <w:rsid w:val="004A6A00"/>
    <w:rsid w:val="004B629C"/>
    <w:rsid w:val="004D4AC1"/>
    <w:rsid w:val="004D5747"/>
    <w:rsid w:val="004E334A"/>
    <w:rsid w:val="004E4E39"/>
    <w:rsid w:val="005247B6"/>
    <w:rsid w:val="00525EDC"/>
    <w:rsid w:val="00527100"/>
    <w:rsid w:val="0053697F"/>
    <w:rsid w:val="005410E0"/>
    <w:rsid w:val="005422FD"/>
    <w:rsid w:val="00543295"/>
    <w:rsid w:val="0054497C"/>
    <w:rsid w:val="00545920"/>
    <w:rsid w:val="00547021"/>
    <w:rsid w:val="00547BEE"/>
    <w:rsid w:val="005620FC"/>
    <w:rsid w:val="005647BA"/>
    <w:rsid w:val="00564E6A"/>
    <w:rsid w:val="0056727B"/>
    <w:rsid w:val="00573B4C"/>
    <w:rsid w:val="00584DE8"/>
    <w:rsid w:val="00592B5B"/>
    <w:rsid w:val="005930D4"/>
    <w:rsid w:val="005A5DA3"/>
    <w:rsid w:val="005A78BE"/>
    <w:rsid w:val="005B2B66"/>
    <w:rsid w:val="005C08A5"/>
    <w:rsid w:val="005C4858"/>
    <w:rsid w:val="005E2902"/>
    <w:rsid w:val="005F2512"/>
    <w:rsid w:val="005F2740"/>
    <w:rsid w:val="00600664"/>
    <w:rsid w:val="006115A0"/>
    <w:rsid w:val="00624564"/>
    <w:rsid w:val="0063337D"/>
    <w:rsid w:val="00644131"/>
    <w:rsid w:val="00651ED2"/>
    <w:rsid w:val="00653DCD"/>
    <w:rsid w:val="006540BB"/>
    <w:rsid w:val="0067136C"/>
    <w:rsid w:val="00676D53"/>
    <w:rsid w:val="00680DA5"/>
    <w:rsid w:val="00683E3C"/>
    <w:rsid w:val="00684D8D"/>
    <w:rsid w:val="00691718"/>
    <w:rsid w:val="00694A9B"/>
    <w:rsid w:val="006963E3"/>
    <w:rsid w:val="006A1096"/>
    <w:rsid w:val="006B5D98"/>
    <w:rsid w:val="006B7B84"/>
    <w:rsid w:val="006B7CA5"/>
    <w:rsid w:val="006C51A9"/>
    <w:rsid w:val="006C6295"/>
    <w:rsid w:val="006C7A00"/>
    <w:rsid w:val="006E542A"/>
    <w:rsid w:val="006F6A5D"/>
    <w:rsid w:val="00707B82"/>
    <w:rsid w:val="00716347"/>
    <w:rsid w:val="00730454"/>
    <w:rsid w:val="00750225"/>
    <w:rsid w:val="00762E13"/>
    <w:rsid w:val="007822F0"/>
    <w:rsid w:val="00784653"/>
    <w:rsid w:val="007D5C0C"/>
    <w:rsid w:val="007E1539"/>
    <w:rsid w:val="007F4C06"/>
    <w:rsid w:val="007F6EF0"/>
    <w:rsid w:val="00807D02"/>
    <w:rsid w:val="00813F4C"/>
    <w:rsid w:val="008163CD"/>
    <w:rsid w:val="0081715E"/>
    <w:rsid w:val="00851A90"/>
    <w:rsid w:val="00856BEF"/>
    <w:rsid w:val="0086414B"/>
    <w:rsid w:val="00870B05"/>
    <w:rsid w:val="00870C50"/>
    <w:rsid w:val="00876664"/>
    <w:rsid w:val="00883DE5"/>
    <w:rsid w:val="0089170C"/>
    <w:rsid w:val="008929C1"/>
    <w:rsid w:val="00896D2A"/>
    <w:rsid w:val="00896FE6"/>
    <w:rsid w:val="008B4389"/>
    <w:rsid w:val="008B47D0"/>
    <w:rsid w:val="008E6235"/>
    <w:rsid w:val="008F19BA"/>
    <w:rsid w:val="008F7FAC"/>
    <w:rsid w:val="009031DB"/>
    <w:rsid w:val="009032BB"/>
    <w:rsid w:val="00904FCA"/>
    <w:rsid w:val="00907810"/>
    <w:rsid w:val="00910BD8"/>
    <w:rsid w:val="00915810"/>
    <w:rsid w:val="009173F7"/>
    <w:rsid w:val="00920CE5"/>
    <w:rsid w:val="009226F3"/>
    <w:rsid w:val="00924A7F"/>
    <w:rsid w:val="0093729A"/>
    <w:rsid w:val="00946406"/>
    <w:rsid w:val="00956489"/>
    <w:rsid w:val="00964412"/>
    <w:rsid w:val="00971DA3"/>
    <w:rsid w:val="0097544E"/>
    <w:rsid w:val="009814DC"/>
    <w:rsid w:val="00987DB4"/>
    <w:rsid w:val="00991330"/>
    <w:rsid w:val="009932D4"/>
    <w:rsid w:val="009A55BF"/>
    <w:rsid w:val="009A6D84"/>
    <w:rsid w:val="009D4C16"/>
    <w:rsid w:val="009F1A5A"/>
    <w:rsid w:val="009F2CFF"/>
    <w:rsid w:val="00A17FB4"/>
    <w:rsid w:val="00A33D9A"/>
    <w:rsid w:val="00A65D82"/>
    <w:rsid w:val="00A822A4"/>
    <w:rsid w:val="00A824D9"/>
    <w:rsid w:val="00A95EC7"/>
    <w:rsid w:val="00AC09E6"/>
    <w:rsid w:val="00AC25DC"/>
    <w:rsid w:val="00AC4EC4"/>
    <w:rsid w:val="00AC675F"/>
    <w:rsid w:val="00AD582A"/>
    <w:rsid w:val="00AF5308"/>
    <w:rsid w:val="00AF7D53"/>
    <w:rsid w:val="00B0312A"/>
    <w:rsid w:val="00B06021"/>
    <w:rsid w:val="00B0716E"/>
    <w:rsid w:val="00B16D80"/>
    <w:rsid w:val="00B25251"/>
    <w:rsid w:val="00B257B3"/>
    <w:rsid w:val="00B365A0"/>
    <w:rsid w:val="00B51998"/>
    <w:rsid w:val="00B53703"/>
    <w:rsid w:val="00B5696C"/>
    <w:rsid w:val="00B61EF2"/>
    <w:rsid w:val="00B65E16"/>
    <w:rsid w:val="00B735B2"/>
    <w:rsid w:val="00B73A58"/>
    <w:rsid w:val="00B82FB7"/>
    <w:rsid w:val="00B839D5"/>
    <w:rsid w:val="00B864D5"/>
    <w:rsid w:val="00B87E06"/>
    <w:rsid w:val="00B92330"/>
    <w:rsid w:val="00BA3B7E"/>
    <w:rsid w:val="00BA438A"/>
    <w:rsid w:val="00BA6E87"/>
    <w:rsid w:val="00BB244E"/>
    <w:rsid w:val="00BC2E13"/>
    <w:rsid w:val="00BC3063"/>
    <w:rsid w:val="00BC4F5C"/>
    <w:rsid w:val="00BC71EC"/>
    <w:rsid w:val="00BC759F"/>
    <w:rsid w:val="00BD0B03"/>
    <w:rsid w:val="00BD6CF9"/>
    <w:rsid w:val="00BE0451"/>
    <w:rsid w:val="00BE5383"/>
    <w:rsid w:val="00C06C3F"/>
    <w:rsid w:val="00C20CFE"/>
    <w:rsid w:val="00C22310"/>
    <w:rsid w:val="00C45868"/>
    <w:rsid w:val="00C52195"/>
    <w:rsid w:val="00C6629D"/>
    <w:rsid w:val="00C771DD"/>
    <w:rsid w:val="00C9037C"/>
    <w:rsid w:val="00C9302A"/>
    <w:rsid w:val="00CA7059"/>
    <w:rsid w:val="00CB16D4"/>
    <w:rsid w:val="00CB2740"/>
    <w:rsid w:val="00CB78FB"/>
    <w:rsid w:val="00CC67CB"/>
    <w:rsid w:val="00CD0B23"/>
    <w:rsid w:val="00CD348E"/>
    <w:rsid w:val="00CD5B2B"/>
    <w:rsid w:val="00CD793D"/>
    <w:rsid w:val="00CE05F3"/>
    <w:rsid w:val="00CE5857"/>
    <w:rsid w:val="00CF1FB2"/>
    <w:rsid w:val="00D12361"/>
    <w:rsid w:val="00D22512"/>
    <w:rsid w:val="00D24ED9"/>
    <w:rsid w:val="00D25248"/>
    <w:rsid w:val="00D25488"/>
    <w:rsid w:val="00D2662C"/>
    <w:rsid w:val="00D312F9"/>
    <w:rsid w:val="00D32306"/>
    <w:rsid w:val="00D32960"/>
    <w:rsid w:val="00D4093B"/>
    <w:rsid w:val="00D40EBE"/>
    <w:rsid w:val="00D44A4B"/>
    <w:rsid w:val="00D44A74"/>
    <w:rsid w:val="00D70CD1"/>
    <w:rsid w:val="00D93F39"/>
    <w:rsid w:val="00D96DC1"/>
    <w:rsid w:val="00DA1F63"/>
    <w:rsid w:val="00DA4435"/>
    <w:rsid w:val="00DA5793"/>
    <w:rsid w:val="00DD72CF"/>
    <w:rsid w:val="00DE0B48"/>
    <w:rsid w:val="00DF0538"/>
    <w:rsid w:val="00DF78A0"/>
    <w:rsid w:val="00E0033D"/>
    <w:rsid w:val="00E05DB7"/>
    <w:rsid w:val="00E1291F"/>
    <w:rsid w:val="00E21490"/>
    <w:rsid w:val="00E3706C"/>
    <w:rsid w:val="00E54543"/>
    <w:rsid w:val="00E8214A"/>
    <w:rsid w:val="00E8617A"/>
    <w:rsid w:val="00E92618"/>
    <w:rsid w:val="00E94C6E"/>
    <w:rsid w:val="00EE6360"/>
    <w:rsid w:val="00EF46E4"/>
    <w:rsid w:val="00EF7C30"/>
    <w:rsid w:val="00F01B1E"/>
    <w:rsid w:val="00F076D2"/>
    <w:rsid w:val="00F11139"/>
    <w:rsid w:val="00F23AD3"/>
    <w:rsid w:val="00F24A33"/>
    <w:rsid w:val="00F24ED6"/>
    <w:rsid w:val="00F37255"/>
    <w:rsid w:val="00F44422"/>
    <w:rsid w:val="00F46AE9"/>
    <w:rsid w:val="00F57E74"/>
    <w:rsid w:val="00F61ACE"/>
    <w:rsid w:val="00F67CE7"/>
    <w:rsid w:val="00F70091"/>
    <w:rsid w:val="00F751CF"/>
    <w:rsid w:val="00F77B5F"/>
    <w:rsid w:val="00F843AA"/>
    <w:rsid w:val="00F92443"/>
    <w:rsid w:val="00F9489E"/>
    <w:rsid w:val="00F97EEF"/>
    <w:rsid w:val="00FA0270"/>
    <w:rsid w:val="00FA6AFF"/>
    <w:rsid w:val="00FB2E02"/>
    <w:rsid w:val="00FB5236"/>
    <w:rsid w:val="00FB583B"/>
    <w:rsid w:val="00FE3016"/>
    <w:rsid w:val="00FE6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F3"/>
  </w:style>
  <w:style w:type="paragraph" w:styleId="1">
    <w:name w:val="heading 1"/>
    <w:aliases w:val=" Знак Знак"/>
    <w:basedOn w:val="a"/>
    <w:next w:val="a"/>
    <w:link w:val="11"/>
    <w:qFormat/>
    <w:rsid w:val="0091581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1581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9">
    <w:name w:val="heading 9"/>
    <w:basedOn w:val="a"/>
    <w:next w:val="a"/>
    <w:link w:val="90"/>
    <w:qFormat/>
    <w:rsid w:val="0091581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915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15810"/>
    <w:rPr>
      <w:rFonts w:ascii="Arial" w:eastAsia="Times New Roman" w:hAnsi="Arial" w:cs="Times New Roman"/>
      <w:snapToGrid w:val="0"/>
      <w:sz w:val="24"/>
      <w:szCs w:val="20"/>
    </w:rPr>
  </w:style>
  <w:style w:type="character" w:customStyle="1" w:styleId="90">
    <w:name w:val="Заголовок 9 Знак"/>
    <w:basedOn w:val="a0"/>
    <w:link w:val="9"/>
    <w:rsid w:val="00915810"/>
    <w:rPr>
      <w:rFonts w:ascii="Times New Roman" w:eastAsia="Times New Roman" w:hAnsi="Times New Roman" w:cs="Times New Roman"/>
      <w:sz w:val="24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915810"/>
  </w:style>
  <w:style w:type="character" w:customStyle="1" w:styleId="11">
    <w:name w:val="Заголовок 1 Знак1"/>
    <w:aliases w:val=" Знак Знак Знак"/>
    <w:link w:val="1"/>
    <w:rsid w:val="0091581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xl27">
    <w:name w:val="xl27"/>
    <w:basedOn w:val="a"/>
    <w:rsid w:val="0091581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xl24">
    <w:name w:val="xl24"/>
    <w:basedOn w:val="a"/>
    <w:rsid w:val="00915810"/>
    <w:pP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 w:cs="Times New Roman"/>
      <w:sz w:val="24"/>
      <w:szCs w:val="24"/>
    </w:rPr>
  </w:style>
  <w:style w:type="paragraph" w:styleId="a3">
    <w:name w:val="List"/>
    <w:basedOn w:val="a"/>
    <w:rsid w:val="0091581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footnote text"/>
    <w:basedOn w:val="a"/>
    <w:link w:val="a5"/>
    <w:semiHidden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Subtitle"/>
    <w:basedOn w:val="a"/>
    <w:link w:val="a7"/>
    <w:uiPriority w:val="11"/>
    <w:qFormat/>
    <w:rsid w:val="00915810"/>
    <w:pPr>
      <w:spacing w:after="0" w:line="240" w:lineRule="auto"/>
      <w:ind w:right="-99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Подзаголовок Знак"/>
    <w:basedOn w:val="a0"/>
    <w:link w:val="a6"/>
    <w:uiPriority w:val="11"/>
    <w:rsid w:val="00915810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Plain Text"/>
    <w:basedOn w:val="a"/>
    <w:link w:val="a9"/>
    <w:rsid w:val="00915810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915810"/>
    <w:rPr>
      <w:rFonts w:ascii="Courier New" w:eastAsia="Times New Roman" w:hAnsi="Courier New" w:cs="Times New Roman"/>
      <w:sz w:val="20"/>
      <w:szCs w:val="20"/>
    </w:rPr>
  </w:style>
  <w:style w:type="character" w:customStyle="1" w:styleId="13">
    <w:name w:val="Основной шрифт абзаца1"/>
    <w:rsid w:val="00915810"/>
  </w:style>
  <w:style w:type="paragraph" w:styleId="aa">
    <w:name w:val="Body Text"/>
    <w:basedOn w:val="a"/>
    <w:link w:val="ab"/>
    <w:rsid w:val="0091581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915810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page number"/>
    <w:basedOn w:val="a0"/>
    <w:rsid w:val="00915810"/>
  </w:style>
  <w:style w:type="paragraph" w:styleId="ad">
    <w:name w:val="footer"/>
    <w:basedOn w:val="a"/>
    <w:link w:val="ae"/>
    <w:uiPriority w:val="99"/>
    <w:rsid w:val="009158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915810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aliases w:val=" Знак"/>
    <w:basedOn w:val="a"/>
    <w:link w:val="af0"/>
    <w:uiPriority w:val="99"/>
    <w:rsid w:val="0091581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af0">
    <w:name w:val="Верхний колонтитул Знак"/>
    <w:aliases w:val=" Знак Знак1"/>
    <w:basedOn w:val="a0"/>
    <w:link w:val="af"/>
    <w:uiPriority w:val="99"/>
    <w:rsid w:val="00915810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1">
    <w:name w:val="Balloon Text"/>
    <w:basedOn w:val="a"/>
    <w:link w:val="af2"/>
    <w:uiPriority w:val="99"/>
    <w:semiHidden/>
    <w:rsid w:val="0091581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15810"/>
    <w:rPr>
      <w:rFonts w:ascii="Tahoma" w:eastAsia="Times New Roman" w:hAnsi="Tahoma" w:cs="Times New Roman"/>
      <w:sz w:val="16"/>
      <w:szCs w:val="16"/>
    </w:rPr>
  </w:style>
  <w:style w:type="table" w:styleId="af3">
    <w:name w:val="Table Grid"/>
    <w:basedOn w:val="a1"/>
    <w:rsid w:val="0091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">
    <w:name w:val="Основной шрифт абзаца11"/>
    <w:rsid w:val="00915810"/>
  </w:style>
  <w:style w:type="paragraph" w:styleId="af4">
    <w:name w:val="Body Text Indent"/>
    <w:basedOn w:val="a"/>
    <w:link w:val="af5"/>
    <w:unhideWhenUsed/>
    <w:rsid w:val="009158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915810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915810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xl34">
    <w:name w:val="xl34"/>
    <w:basedOn w:val="a"/>
    <w:rsid w:val="00915810"/>
    <w:pPr>
      <w:pBdr>
        <w:left w:val="double" w:sz="6" w:space="0" w:color="auto"/>
        <w:bottom w:val="single" w:sz="4" w:space="0" w:color="auto"/>
        <w:right w:val="double" w:sz="6" w:space="0" w:color="auto"/>
      </w:pBdr>
      <w:autoSpaceDE w:val="0"/>
      <w:autoSpaceDN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1581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15810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Обычный с отступом"/>
    <w:basedOn w:val="a"/>
    <w:rsid w:val="009158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4">
    <w:name w:val="заголовок 1"/>
    <w:basedOn w:val="a"/>
    <w:next w:val="a"/>
    <w:rsid w:val="00915810"/>
    <w:pPr>
      <w:keepNext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15">
    <w:name w:val="Обычный1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lock Text"/>
    <w:basedOn w:val="a"/>
    <w:rsid w:val="00915810"/>
    <w:pPr>
      <w:spacing w:after="0" w:line="240" w:lineRule="auto"/>
      <w:ind w:left="284" w:right="43" w:hanging="284"/>
    </w:pPr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9158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915810"/>
    <w:rPr>
      <w:rFonts w:ascii="Times New Roman" w:eastAsia="Times New Roman" w:hAnsi="Times New Roman" w:cs="Times New Roman"/>
      <w:sz w:val="24"/>
      <w:szCs w:val="20"/>
    </w:rPr>
  </w:style>
  <w:style w:type="paragraph" w:customStyle="1" w:styleId="16">
    <w:name w:val="Список1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">
    <w:name w:val="Основной текст1"/>
    <w:basedOn w:val="a"/>
    <w:link w:val="af8"/>
    <w:rsid w:val="00915810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915810"/>
    <w:pPr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5">
    <w:name w:val="xl25"/>
    <w:basedOn w:val="a"/>
    <w:rsid w:val="00915810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Arial Unicode MS" w:eastAsia="Arial Unicode MS" w:hAnsi="Arial Unicode MS" w:cs="Times New Roman"/>
      <w:sz w:val="24"/>
      <w:szCs w:val="24"/>
      <w:lang w:eastAsia="ar-SA"/>
    </w:rPr>
  </w:style>
  <w:style w:type="paragraph" w:styleId="af9">
    <w:name w:val="List Paragraph"/>
    <w:basedOn w:val="a"/>
    <w:uiPriority w:val="34"/>
    <w:qFormat/>
    <w:rsid w:val="00915810"/>
    <w:pPr>
      <w:ind w:left="720"/>
      <w:contextualSpacing/>
    </w:pPr>
    <w:rPr>
      <w:rFonts w:ascii="Calibri" w:eastAsia="Times New Roman" w:hAnsi="Calibri" w:cs="Times New Roman"/>
    </w:rPr>
  </w:style>
  <w:style w:type="character" w:styleId="afa">
    <w:name w:val="Hyperlink"/>
    <w:uiPriority w:val="99"/>
    <w:rsid w:val="00915810"/>
    <w:rPr>
      <w:color w:val="0000FF"/>
      <w:u w:val="single"/>
    </w:rPr>
  </w:style>
  <w:style w:type="paragraph" w:customStyle="1" w:styleId="310">
    <w:name w:val="Основной текст с отступом 31"/>
    <w:basedOn w:val="a"/>
    <w:rsid w:val="00915810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afb">
    <w:name w:val="Normal (Web)"/>
    <w:basedOn w:val="a"/>
    <w:uiPriority w:val="99"/>
    <w:rsid w:val="0091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3"/>
    <w:basedOn w:val="a"/>
    <w:link w:val="34"/>
    <w:rsid w:val="009158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15810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r">
    <w:name w:val="Normal_r"/>
    <w:basedOn w:val="a"/>
    <w:rsid w:val="00915810"/>
    <w:pPr>
      <w:widowControl w:val="0"/>
      <w:tabs>
        <w:tab w:val="left" w:pos="720"/>
        <w:tab w:val="decimal" w:pos="2304"/>
        <w:tab w:val="decimal" w:pos="3024"/>
        <w:tab w:val="decimal" w:pos="4464"/>
        <w:tab w:val="decimal" w:pos="5184"/>
        <w:tab w:val="decimal" w:pos="6480"/>
        <w:tab w:val="decimal" w:pos="7920"/>
        <w:tab w:val="left" w:pos="8640"/>
        <w:tab w:val="left" w:pos="9792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Title"/>
    <w:basedOn w:val="a"/>
    <w:next w:val="a"/>
    <w:link w:val="afd"/>
    <w:qFormat/>
    <w:rsid w:val="0091581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d">
    <w:name w:val="Название Знак"/>
    <w:basedOn w:val="a0"/>
    <w:link w:val="afc"/>
    <w:rsid w:val="00915810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Основной шрифт абзаца2"/>
    <w:rsid w:val="00915810"/>
  </w:style>
  <w:style w:type="paragraph" w:customStyle="1" w:styleId="26">
    <w:name w:val="Обычный2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шрифт абзаца3"/>
    <w:rsid w:val="00915810"/>
  </w:style>
  <w:style w:type="paragraph" w:customStyle="1" w:styleId="36">
    <w:name w:val="Обычный3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7">
    <w:name w:val="Список3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">
    <w:name w:val="Основной шрифт абзаца4"/>
    <w:rsid w:val="00915810"/>
  </w:style>
  <w:style w:type="paragraph" w:customStyle="1" w:styleId="40">
    <w:name w:val="Обычный4"/>
    <w:rsid w:val="00915810"/>
    <w:pPr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1">
    <w:name w:val="Список4"/>
    <w:basedOn w:val="a"/>
    <w:rsid w:val="00915810"/>
    <w:pPr>
      <w:snapToGri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915810"/>
    <w:rPr>
      <w:rFonts w:ascii="Arial" w:hAnsi="Arial" w:cs="Arial"/>
      <w:sz w:val="20"/>
      <w:szCs w:val="20"/>
    </w:rPr>
  </w:style>
  <w:style w:type="paragraph" w:customStyle="1" w:styleId="18">
    <w:name w:val="1"/>
    <w:basedOn w:val="a"/>
    <w:uiPriority w:val="99"/>
    <w:rsid w:val="00915810"/>
    <w:pPr>
      <w:spacing w:after="0" w:line="480" w:lineRule="atLeast"/>
      <w:ind w:firstLine="1134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33">
    <w:name w:val="Font Style33"/>
    <w:uiPriority w:val="99"/>
    <w:rsid w:val="00915810"/>
    <w:rPr>
      <w:rFonts w:ascii="Times New Roman" w:hAnsi="Times New Roman" w:cs="Times New Roman"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semiHidden/>
    <w:rsid w:val="002002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4E33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BB24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8">
    <w:name w:val="Основной текст_"/>
    <w:basedOn w:val="a0"/>
    <w:link w:val="17"/>
    <w:rsid w:val="00BB24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BB24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4114">
          <w:marLeft w:val="0"/>
          <w:marRight w:val="0"/>
          <w:marTop w:val="15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1877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3307">
                          <w:marLeft w:val="79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391562">
                      <w:marLeft w:val="-19950"/>
                      <w:marRight w:val="45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2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982131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129239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382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4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206452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95101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8E0E06"/>
                          </w:divBdr>
                        </w:div>
                      </w:divsChild>
                    </w:div>
                    <w:div w:id="111255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85775">
                  <w:marLeft w:val="0"/>
                  <w:marRight w:val="0"/>
                  <w:marTop w:val="960"/>
                  <w:marBottom w:val="450"/>
                  <w:divBdr>
                    <w:top w:val="single" w:sz="6" w:space="8" w:color="CDCDCD"/>
                    <w:left w:val="single" w:sz="6" w:space="0" w:color="CDCDCD"/>
                    <w:bottom w:val="single" w:sz="6" w:space="30" w:color="CDCDCD"/>
                    <w:right w:val="single" w:sz="6" w:space="0" w:color="CDCDCD"/>
                  </w:divBdr>
                  <w:divsChild>
                    <w:div w:id="1887719385">
                      <w:marLeft w:val="0"/>
                      <w:marRight w:val="0"/>
                      <w:marTop w:val="0"/>
                      <w:marBottom w:val="10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1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6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6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66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7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13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2633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6838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5472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93562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82374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38132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4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mailto:admbograd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aimyr24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niierv@vniro.ru" TargetMode="External"/><Relationship Id="rId17" Type="http://schemas.openxmlformats.org/officeDocument/2006/relationships/chart" Target="charts/chart3.xml"/><Relationship Id="rId25" Type="http://schemas.openxmlformats.org/officeDocument/2006/relationships/hyperlink" Target="mailto:atao@taimyr24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mailto:atao@taimyr24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asnoyarsk@enisey-rosfish.ru" TargetMode="External"/><Relationship Id="rId24" Type="http://schemas.openxmlformats.org/officeDocument/2006/relationships/hyperlink" Target="mailto:niierv@vniro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://niierv.vniro.ru" TargetMode="External"/><Relationship Id="rId28" Type="http://schemas.openxmlformats.org/officeDocument/2006/relationships/hyperlink" Target="mailto:atao@taimyr24.ru" TargetMode="External"/><Relationship Id="rId10" Type="http://schemas.openxmlformats.org/officeDocument/2006/relationships/hyperlink" Target="mailto:harbour@fishcom.ru" TargetMode="External"/><Relationship Id="rId19" Type="http://schemas.openxmlformats.org/officeDocument/2006/relationships/hyperlink" Target="mailto:atao@taimyr24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://www.bograd-web.ru" TargetMode="External"/><Relationship Id="rId27" Type="http://schemas.openxmlformats.org/officeDocument/2006/relationships/hyperlink" Target="mailto:niierv@vniro.ru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92.168.10.7\public\part2\&#1050;&#1088;&#1080;&#1074;&#1086;&#1083;&#1091;&#1094;&#1082;&#1080;&#1081;%20&#1044;&#1040;\&#1054;&#1076;&#1091;,%20&#1054;&#1084;&#1091;&#1083;&#1100;,&#1089;&#1080;&#1075;\&#1055;&#1045;&#1056;&#1045;&#1057;&#1063;&#1045;&#1058;%20&#1042;&#1055;&#1040;%20&#1054;&#1052;&#1059;&#1051;&#1068;%202022%20&#1080;&#1090;&#1086;&#1075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470046007619403"/>
          <c:y val="3.718123550491944E-2"/>
          <c:w val="0.83989620792220321"/>
          <c:h val="0.6544019778753517"/>
        </c:manualLayout>
      </c:layout>
      <c:lineChart>
        <c:grouping val="standard"/>
        <c:ser>
          <c:idx val="0"/>
          <c:order val="0"/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Лист2!$F$73:$F$92</c:f>
              <c:numCache>
                <c:formatCode>General</c:formatCode>
                <c:ptCount val="2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Лист2!$H$72:$H$92</c:f>
              <c:numCache>
                <c:formatCode>General</c:formatCode>
                <c:ptCount val="21"/>
                <c:pt idx="0">
                  <c:v>600</c:v>
                </c:pt>
                <c:pt idx="1">
                  <c:v>600</c:v>
                </c:pt>
                <c:pt idx="2">
                  <c:v>600</c:v>
                </c:pt>
                <c:pt idx="3">
                  <c:v>600</c:v>
                </c:pt>
                <c:pt idx="4">
                  <c:v>600</c:v>
                </c:pt>
                <c:pt idx="5">
                  <c:v>600</c:v>
                </c:pt>
                <c:pt idx="6">
                  <c:v>600</c:v>
                </c:pt>
                <c:pt idx="7">
                  <c:v>600</c:v>
                </c:pt>
                <c:pt idx="8">
                  <c:v>600</c:v>
                </c:pt>
                <c:pt idx="9">
                  <c:v>600</c:v>
                </c:pt>
                <c:pt idx="10">
                  <c:v>600</c:v>
                </c:pt>
                <c:pt idx="11">
                  <c:v>600</c:v>
                </c:pt>
                <c:pt idx="12">
                  <c:v>600</c:v>
                </c:pt>
                <c:pt idx="13">
                  <c:v>600</c:v>
                </c:pt>
                <c:pt idx="14">
                  <c:v>600</c:v>
                </c:pt>
                <c:pt idx="15">
                  <c:v>600</c:v>
                </c:pt>
                <c:pt idx="16">
                  <c:v>600</c:v>
                </c:pt>
                <c:pt idx="17">
                  <c:v>600</c:v>
                </c:pt>
                <c:pt idx="18">
                  <c:v>600</c:v>
                </c:pt>
                <c:pt idx="19">
                  <c:v>600</c:v>
                </c:pt>
                <c:pt idx="20">
                  <c:v>600</c:v>
                </c:pt>
              </c:numCache>
            </c:numRef>
          </c:val>
        </c:ser>
        <c:ser>
          <c:idx val="1"/>
          <c:order val="1"/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Лист2!$F$73:$F$92</c:f>
              <c:numCache>
                <c:formatCode>General</c:formatCode>
                <c:ptCount val="2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Лист2!$I$72:$I$92</c:f>
              <c:numCache>
                <c:formatCode>General</c:formatCode>
                <c:ptCount val="21"/>
                <c:pt idx="0">
                  <c:v>950</c:v>
                </c:pt>
                <c:pt idx="1">
                  <c:v>950</c:v>
                </c:pt>
                <c:pt idx="2">
                  <c:v>950</c:v>
                </c:pt>
                <c:pt idx="3">
                  <c:v>950</c:v>
                </c:pt>
                <c:pt idx="4">
                  <c:v>950</c:v>
                </c:pt>
                <c:pt idx="5">
                  <c:v>950</c:v>
                </c:pt>
                <c:pt idx="6">
                  <c:v>950</c:v>
                </c:pt>
                <c:pt idx="7">
                  <c:v>950</c:v>
                </c:pt>
                <c:pt idx="8">
                  <c:v>950</c:v>
                </c:pt>
                <c:pt idx="9">
                  <c:v>950</c:v>
                </c:pt>
                <c:pt idx="10">
                  <c:v>950</c:v>
                </c:pt>
                <c:pt idx="11">
                  <c:v>950</c:v>
                </c:pt>
                <c:pt idx="12">
                  <c:v>950</c:v>
                </c:pt>
                <c:pt idx="13">
                  <c:v>950</c:v>
                </c:pt>
                <c:pt idx="14">
                  <c:v>950</c:v>
                </c:pt>
                <c:pt idx="15">
                  <c:v>950</c:v>
                </c:pt>
                <c:pt idx="16">
                  <c:v>950</c:v>
                </c:pt>
                <c:pt idx="17">
                  <c:v>950</c:v>
                </c:pt>
                <c:pt idx="18">
                  <c:v>950</c:v>
                </c:pt>
                <c:pt idx="19">
                  <c:v>950</c:v>
                </c:pt>
                <c:pt idx="20">
                  <c:v>950</c:v>
                </c:pt>
              </c:numCache>
            </c:numRef>
          </c:val>
        </c:ser>
        <c:ser>
          <c:idx val="2"/>
          <c:order val="2"/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numRef>
              <c:f>Лист2!$F$73:$F$92</c:f>
              <c:numCache>
                <c:formatCode>General</c:formatCode>
                <c:ptCount val="20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  <c:pt idx="18">
                  <c:v>2022</c:v>
                </c:pt>
                <c:pt idx="19">
                  <c:v>2023</c:v>
                </c:pt>
              </c:numCache>
            </c:numRef>
          </c:cat>
          <c:val>
            <c:numRef>
              <c:f>Лист2!$J$100:$J$119</c:f>
              <c:numCache>
                <c:formatCode>General</c:formatCode>
                <c:ptCount val="20"/>
                <c:pt idx="0">
                  <c:v>1353</c:v>
                </c:pt>
                <c:pt idx="1">
                  <c:v>1263</c:v>
                </c:pt>
                <c:pt idx="2">
                  <c:v>1079</c:v>
                </c:pt>
                <c:pt idx="3">
                  <c:v>1003</c:v>
                </c:pt>
                <c:pt idx="4">
                  <c:v>1066</c:v>
                </c:pt>
                <c:pt idx="5">
                  <c:v>1051</c:v>
                </c:pt>
                <c:pt idx="6" formatCode="0">
                  <c:v>947.61800000000005</c:v>
                </c:pt>
                <c:pt idx="7" formatCode="0">
                  <c:v>931.08393000000353</c:v>
                </c:pt>
                <c:pt idx="8" formatCode="0">
                  <c:v>1021.614</c:v>
                </c:pt>
                <c:pt idx="9" formatCode="0">
                  <c:v>942.68318400000055</c:v>
                </c:pt>
                <c:pt idx="10" formatCode="0">
                  <c:v>988.87206299212596</c:v>
                </c:pt>
                <c:pt idx="11" formatCode="0">
                  <c:v>925.97066333333328</c:v>
                </c:pt>
                <c:pt idx="12" formatCode="0">
                  <c:v>799.17925000000002</c:v>
                </c:pt>
                <c:pt idx="13" formatCode="0">
                  <c:v>652.03600000000006</c:v>
                </c:pt>
                <c:pt idx="14" formatCode="0">
                  <c:v>575.57332000000054</c:v>
                </c:pt>
                <c:pt idx="15" formatCode="0">
                  <c:v>603.53821999999946</c:v>
                </c:pt>
                <c:pt idx="16" formatCode="0">
                  <c:v>615.70793037037845</c:v>
                </c:pt>
                <c:pt idx="17" formatCode="0">
                  <c:v>625.84196032723742</c:v>
                </c:pt>
                <c:pt idx="18" formatCode="0">
                  <c:v>601.47240000221041</c:v>
                </c:pt>
                <c:pt idx="19" formatCode="0">
                  <c:v>614.82163825003693</c:v>
                </c:pt>
              </c:numCache>
            </c:numRef>
          </c:val>
        </c:ser>
        <c:marker val="1"/>
        <c:axId val="86315392"/>
        <c:axId val="86317312"/>
      </c:lineChart>
      <c:catAx>
        <c:axId val="86315392"/>
        <c:scaling>
          <c:orientation val="minMax"/>
        </c:scaling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6317312"/>
        <c:crosses val="autoZero"/>
        <c:auto val="1"/>
        <c:lblAlgn val="ctr"/>
        <c:lblOffset val="100"/>
      </c:catAx>
      <c:valAx>
        <c:axId val="86317312"/>
        <c:scaling>
          <c:orientation val="minMax"/>
          <c:min val="2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Нерестовый запас, т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8631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4434589983369231"/>
          <c:y val="4.1394907407407533E-2"/>
          <c:w val="0.65720893989979945"/>
          <c:h val="0.64933217949785627"/>
        </c:manualLayout>
      </c:layout>
      <c:lineChart>
        <c:grouping val="standard"/>
        <c:ser>
          <c:idx val="0"/>
          <c:order val="0"/>
          <c:tx>
            <c:strRef>
              <c:f>'Разм сост1991-2014'!$M$5</c:f>
              <c:strCache>
                <c:ptCount val="1"/>
                <c:pt idx="0">
                  <c:v>1991-2011</c:v>
                </c:pt>
              </c:strCache>
            </c:strRef>
          </c:tx>
          <c:spPr>
            <a:ln w="34925">
              <a:prstDash val="sysDash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сост1991-2014'!$M$6:$M$29</c:f>
              <c:numCache>
                <c:formatCode>0.0</c:formatCode>
                <c:ptCount val="24"/>
                <c:pt idx="0">
                  <c:v>2.2222222222222251E-2</c:v>
                </c:pt>
                <c:pt idx="1">
                  <c:v>6.666666666666668E-2</c:v>
                </c:pt>
                <c:pt idx="2">
                  <c:v>0.13333333333333341</c:v>
                </c:pt>
                <c:pt idx="3">
                  <c:v>0.56666666666666676</c:v>
                </c:pt>
                <c:pt idx="4">
                  <c:v>0.96111111111111114</c:v>
                </c:pt>
                <c:pt idx="5">
                  <c:v>2.3555555555555547</c:v>
                </c:pt>
                <c:pt idx="6">
                  <c:v>3.5833333333333401</c:v>
                </c:pt>
                <c:pt idx="7">
                  <c:v>5.7444444444444454</c:v>
                </c:pt>
                <c:pt idx="8">
                  <c:v>6.7055555555555255</c:v>
                </c:pt>
                <c:pt idx="9">
                  <c:v>9.0555555555555767</c:v>
                </c:pt>
                <c:pt idx="10">
                  <c:v>10.177777777777768</c:v>
                </c:pt>
                <c:pt idx="11">
                  <c:v>10.25</c:v>
                </c:pt>
                <c:pt idx="12">
                  <c:v>9.9500000000000028</c:v>
                </c:pt>
                <c:pt idx="13">
                  <c:v>7.8388888888888877</c:v>
                </c:pt>
                <c:pt idx="14">
                  <c:v>8.2000000000000011</c:v>
                </c:pt>
                <c:pt idx="15">
                  <c:v>7.261111111111112</c:v>
                </c:pt>
                <c:pt idx="16">
                  <c:v>5.8555555555554788</c:v>
                </c:pt>
                <c:pt idx="17">
                  <c:v>4.2833333333333892</c:v>
                </c:pt>
                <c:pt idx="18">
                  <c:v>2.9833333333333352</c:v>
                </c:pt>
                <c:pt idx="19">
                  <c:v>1.4888888888888889</c:v>
                </c:pt>
                <c:pt idx="20">
                  <c:v>0.8944444444444446</c:v>
                </c:pt>
                <c:pt idx="21">
                  <c:v>0.5722222222222223</c:v>
                </c:pt>
                <c:pt idx="22">
                  <c:v>0.50555555555555554</c:v>
                </c:pt>
                <c:pt idx="23">
                  <c:v>0.54444444444444462</c:v>
                </c:pt>
              </c:numCache>
            </c:numRef>
          </c:val>
        </c:ser>
        <c:ser>
          <c:idx val="2"/>
          <c:order val="1"/>
          <c:tx>
            <c:strRef>
              <c:f>'Разм сост1991-2014'!$P$5</c:f>
              <c:strCache>
                <c:ptCount val="1"/>
                <c:pt idx="0">
                  <c:v>2013-2014</c:v>
                </c:pt>
              </c:strCache>
            </c:strRef>
          </c:tx>
          <c:spPr>
            <a:ln w="34925"/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сост1991-2014'!$P$6:$P$29</c:f>
              <c:numCache>
                <c:formatCode>0.0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0.65000000000000591</c:v>
                </c:pt>
                <c:pt idx="4">
                  <c:v>1.9500000000000104</c:v>
                </c:pt>
                <c:pt idx="5">
                  <c:v>5.35</c:v>
                </c:pt>
                <c:pt idx="6">
                  <c:v>10.050000000000002</c:v>
                </c:pt>
                <c:pt idx="7">
                  <c:v>14.75</c:v>
                </c:pt>
                <c:pt idx="8">
                  <c:v>22.35</c:v>
                </c:pt>
                <c:pt idx="9">
                  <c:v>13.9</c:v>
                </c:pt>
                <c:pt idx="10">
                  <c:v>9.25</c:v>
                </c:pt>
                <c:pt idx="11">
                  <c:v>5.35</c:v>
                </c:pt>
                <c:pt idx="12">
                  <c:v>4.2</c:v>
                </c:pt>
                <c:pt idx="13">
                  <c:v>2.2999999999999998</c:v>
                </c:pt>
                <c:pt idx="14">
                  <c:v>2.0499999999999998</c:v>
                </c:pt>
                <c:pt idx="15">
                  <c:v>2.0499999999999998</c:v>
                </c:pt>
                <c:pt idx="16">
                  <c:v>1.85</c:v>
                </c:pt>
                <c:pt idx="17">
                  <c:v>1.4</c:v>
                </c:pt>
                <c:pt idx="18">
                  <c:v>0.65000000000000591</c:v>
                </c:pt>
                <c:pt idx="19">
                  <c:v>0.5</c:v>
                </c:pt>
                <c:pt idx="20">
                  <c:v>0.5</c:v>
                </c:pt>
                <c:pt idx="21">
                  <c:v>0.35000000000000031</c:v>
                </c:pt>
                <c:pt idx="22">
                  <c:v>0.2</c:v>
                </c:pt>
                <c:pt idx="23">
                  <c:v>0.35000000000000031</c:v>
                </c:pt>
              </c:numCache>
            </c:numRef>
          </c:val>
        </c:ser>
        <c:ser>
          <c:idx val="3"/>
          <c:order val="2"/>
          <c:tx>
            <c:strRef>
              <c:f>'Разм сост1991-2014'!$T$5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>
              <a:solidFill>
                <a:sysClr val="windowText" lastClr="000000"/>
              </a:solidFill>
              <a:prstDash val="sysDot"/>
            </a:ln>
          </c:spPr>
          <c:marker>
            <c:symbol val="none"/>
          </c:marker>
          <c:cat>
            <c:strRef>
              <c:f>'Разм сост1991-2014'!$B$6:$B$28</c:f>
              <c:strCache>
                <c:ptCount val="23"/>
                <c:pt idx="0">
                  <c:v>32-33</c:v>
                </c:pt>
                <c:pt idx="1">
                  <c:v>34</c:v>
                </c:pt>
                <c:pt idx="2">
                  <c:v>35</c:v>
                </c:pt>
                <c:pt idx="3">
                  <c:v>36</c:v>
                </c:pt>
                <c:pt idx="4">
                  <c:v>37</c:v>
                </c:pt>
                <c:pt idx="5">
                  <c:v>38</c:v>
                </c:pt>
                <c:pt idx="6">
                  <c:v>39</c:v>
                </c:pt>
                <c:pt idx="7">
                  <c:v>40</c:v>
                </c:pt>
                <c:pt idx="8">
                  <c:v>41</c:v>
                </c:pt>
                <c:pt idx="9">
                  <c:v>42</c:v>
                </c:pt>
                <c:pt idx="10">
                  <c:v>43</c:v>
                </c:pt>
                <c:pt idx="11">
                  <c:v>44</c:v>
                </c:pt>
                <c:pt idx="12">
                  <c:v>45</c:v>
                </c:pt>
                <c:pt idx="13">
                  <c:v>46</c:v>
                </c:pt>
                <c:pt idx="14">
                  <c:v>47</c:v>
                </c:pt>
                <c:pt idx="15">
                  <c:v>48</c:v>
                </c:pt>
                <c:pt idx="16">
                  <c:v>49</c:v>
                </c:pt>
                <c:pt idx="17">
                  <c:v>50</c:v>
                </c:pt>
                <c:pt idx="18">
                  <c:v>51</c:v>
                </c:pt>
                <c:pt idx="19">
                  <c:v>52</c:v>
                </c:pt>
                <c:pt idx="20">
                  <c:v>53</c:v>
                </c:pt>
                <c:pt idx="21">
                  <c:v>54</c:v>
                </c:pt>
                <c:pt idx="22">
                  <c:v>55</c:v>
                </c:pt>
              </c:strCache>
            </c:strRef>
          </c:cat>
          <c:val>
            <c:numRef>
              <c:f>'Разм сост1991-2014'!$T$6:$T$29</c:f>
              <c:numCache>
                <c:formatCode>General</c:formatCode>
                <c:ptCount val="24"/>
                <c:pt idx="0">
                  <c:v>0</c:v>
                </c:pt>
                <c:pt idx="1">
                  <c:v>7.3475385745775168E-2</c:v>
                </c:pt>
                <c:pt idx="2">
                  <c:v>0.27144256674014461</c:v>
                </c:pt>
                <c:pt idx="3">
                  <c:v>0.64491795248591965</c:v>
                </c:pt>
                <c:pt idx="4">
                  <c:v>1.7309943668870826</c:v>
                </c:pt>
                <c:pt idx="5">
                  <c:v>3.9364805290227767</c:v>
                </c:pt>
                <c:pt idx="6">
                  <c:v>8.8845236345824148</c:v>
                </c:pt>
                <c:pt idx="7">
                  <c:v>14.128643154543228</c:v>
                </c:pt>
                <c:pt idx="8">
                  <c:v>19.694413421503796</c:v>
                </c:pt>
                <c:pt idx="9">
                  <c:v>17.559025226549107</c:v>
                </c:pt>
                <c:pt idx="10">
                  <c:v>13.34358314964487</c:v>
                </c:pt>
                <c:pt idx="11">
                  <c:v>7.8142395297575256</c:v>
                </c:pt>
                <c:pt idx="12">
                  <c:v>5.0516605437178539</c:v>
                </c:pt>
                <c:pt idx="13">
                  <c:v>2.4876389909380348</c:v>
                </c:pt>
                <c:pt idx="14">
                  <c:v>1.3752020573108006</c:v>
                </c:pt>
                <c:pt idx="15">
                  <c:v>1.037092823903992</c:v>
                </c:pt>
                <c:pt idx="16">
                  <c:v>0.62666666666666671</c:v>
                </c:pt>
                <c:pt idx="17">
                  <c:v>0.47666666666666996</c:v>
                </c:pt>
                <c:pt idx="18">
                  <c:v>0.2166666666666667</c:v>
                </c:pt>
                <c:pt idx="19">
                  <c:v>0.17666666666666669</c:v>
                </c:pt>
                <c:pt idx="20">
                  <c:v>0.16666666666666666</c:v>
                </c:pt>
                <c:pt idx="21">
                  <c:v>0.11666666666666672</c:v>
                </c:pt>
                <c:pt idx="22">
                  <c:v>6.666666666666668E-2</c:v>
                </c:pt>
                <c:pt idx="23">
                  <c:v>0.11666666666666672</c:v>
                </c:pt>
              </c:numCache>
            </c:numRef>
          </c:val>
        </c:ser>
        <c:ser>
          <c:idx val="1"/>
          <c:order val="3"/>
          <c:tx>
            <c:strRef>
              <c:f>'Разм сост1991-2014'!$U$5</c:f>
              <c:strCache>
                <c:ptCount val="1"/>
                <c:pt idx="0">
                  <c:v>2020-2021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'Разм сост1991-2014'!$U$6:$U$29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0.16891891891891889</c:v>
                </c:pt>
                <c:pt idx="4">
                  <c:v>0.16891891891891889</c:v>
                </c:pt>
                <c:pt idx="5">
                  <c:v>3.5472972972973458</c:v>
                </c:pt>
                <c:pt idx="6">
                  <c:v>12.5</c:v>
                </c:pt>
                <c:pt idx="7">
                  <c:v>19.932432432432176</c:v>
                </c:pt>
                <c:pt idx="8">
                  <c:v>21.452702702702506</c:v>
                </c:pt>
                <c:pt idx="9">
                  <c:v>15.033783783783781</c:v>
                </c:pt>
                <c:pt idx="10">
                  <c:v>12.162162162162163</c:v>
                </c:pt>
                <c:pt idx="11">
                  <c:v>7.2635135135135105</c:v>
                </c:pt>
                <c:pt idx="12">
                  <c:v>5.2364864864864868</c:v>
                </c:pt>
                <c:pt idx="13">
                  <c:v>1.3513513513513513</c:v>
                </c:pt>
                <c:pt idx="14">
                  <c:v>0.16891891891891889</c:v>
                </c:pt>
                <c:pt idx="15">
                  <c:v>0.67567567567569087</c:v>
                </c:pt>
                <c:pt idx="16">
                  <c:v>0.16891891891891889</c:v>
                </c:pt>
                <c:pt idx="17">
                  <c:v>0.16891891891891889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marker val="1"/>
        <c:axId val="86348160"/>
        <c:axId val="86350080"/>
      </c:lineChart>
      <c:catAx>
        <c:axId val="863481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ru-RU" sz="1100"/>
                  <a:t>Длина промысловая, см</a:t>
                </a:r>
              </a:p>
            </c:rich>
          </c:tx>
          <c:layout>
            <c:manualLayout>
              <c:xMode val="edge"/>
              <c:yMode val="edge"/>
              <c:x val="0.26648650511116767"/>
              <c:y val="0.84389590184324315"/>
            </c:manualLayout>
          </c:layout>
        </c:title>
        <c:numFmt formatCode="General" sourceLinked="1"/>
        <c:tickLblPos val="nextTo"/>
        <c:spPr>
          <a:ln>
            <a:solidFill>
              <a:sysClr val="windowText" lastClr="000000"/>
            </a:solidFill>
          </a:ln>
        </c:spPr>
        <c:crossAx val="86350080"/>
        <c:crosses val="autoZero"/>
        <c:auto val="1"/>
        <c:lblAlgn val="ctr"/>
        <c:lblOffset val="100"/>
      </c:catAx>
      <c:valAx>
        <c:axId val="86350080"/>
        <c:scaling>
          <c:orientation val="minMax"/>
        </c:scaling>
        <c:axPos val="l"/>
        <c:majorGridlines>
          <c:spPr>
            <a:ln>
              <a:solidFill>
                <a:sysClr val="window" lastClr="FFFFFF">
                  <a:lumMod val="7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/>
                  <a:t>Число</a:t>
                </a:r>
                <a:r>
                  <a:rPr lang="ru-RU"/>
                  <a:t> экз., %</a:t>
                </a:r>
              </a:p>
            </c:rich>
          </c:tx>
          <c:layout>
            <c:manualLayout>
              <c:xMode val="edge"/>
              <c:yMode val="edge"/>
              <c:x val="3.0815972994531256E-2"/>
              <c:y val="0.12813360193292009"/>
            </c:manualLayout>
          </c:layout>
        </c:title>
        <c:numFmt formatCode="0.0" sourceLinked="1"/>
        <c:tickLblPos val="nextTo"/>
        <c:crossAx val="86348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75090925758764"/>
          <c:y val="0.34674270097681248"/>
          <c:w val="0.18582017363768322"/>
          <c:h val="0.450710304768309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8073217148735096"/>
          <c:y val="8.9002359191140717E-2"/>
          <c:w val="0.59175410075534163"/>
          <c:h val="0.65398099475792659"/>
        </c:manualLayout>
      </c:layout>
      <c:lineChart>
        <c:grouping val="standard"/>
        <c:ser>
          <c:idx val="0"/>
          <c:order val="0"/>
          <c:tx>
            <c:strRef>
              <c:f>'Возр сост 2004-2014'!$F$32</c:f>
              <c:strCache>
                <c:ptCount val="1"/>
                <c:pt idx="0">
                  <c:v>2004-2011</c:v>
                </c:pt>
              </c:strCache>
            </c:strRef>
          </c:tx>
          <c:spPr>
            <a:ln w="34925" cap="rnd">
              <a:solidFill>
                <a:sysClr val="windowText" lastClr="000000">
                  <a:lumMod val="50000"/>
                  <a:lumOff val="50000"/>
                </a:sys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2004-2014'!$F$33:$F$49</c:f>
              <c:numCache>
                <c:formatCode>0.0</c:formatCode>
                <c:ptCount val="17"/>
                <c:pt idx="0" formatCode="General">
                  <c:v>0</c:v>
                </c:pt>
                <c:pt idx="1">
                  <c:v>0.53333333333333333</c:v>
                </c:pt>
                <c:pt idx="2">
                  <c:v>0.73333333333333361</c:v>
                </c:pt>
                <c:pt idx="3">
                  <c:v>2.1333333333333342</c:v>
                </c:pt>
                <c:pt idx="4">
                  <c:v>4.6333333333333524</c:v>
                </c:pt>
                <c:pt idx="5">
                  <c:v>2.2666666666666671</c:v>
                </c:pt>
                <c:pt idx="6">
                  <c:v>7.4333333333334037</c:v>
                </c:pt>
                <c:pt idx="7">
                  <c:v>14</c:v>
                </c:pt>
                <c:pt idx="8">
                  <c:v>14.833333333333334</c:v>
                </c:pt>
                <c:pt idx="9">
                  <c:v>17.8</c:v>
                </c:pt>
                <c:pt idx="10">
                  <c:v>11.566666666666773</c:v>
                </c:pt>
                <c:pt idx="11">
                  <c:v>10.366666666666799</c:v>
                </c:pt>
                <c:pt idx="12">
                  <c:v>7.2666666666666684</c:v>
                </c:pt>
                <c:pt idx="13">
                  <c:v>3.0333333333333332</c:v>
                </c:pt>
                <c:pt idx="14">
                  <c:v>2.6</c:v>
                </c:pt>
                <c:pt idx="15">
                  <c:v>0.79999999999999993</c:v>
                </c:pt>
                <c:pt idx="16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'Возр сост 2004-2014'!$G$32</c:f>
              <c:strCache>
                <c:ptCount val="1"/>
                <c:pt idx="0">
                  <c:v>2013-2014</c:v>
                </c:pt>
              </c:strCache>
            </c:strRef>
          </c:tx>
          <c:spPr>
            <a:ln w="44450" cap="rnd">
              <a:solidFill>
                <a:schemeClr val="tx1">
                  <a:lumMod val="65000"/>
                  <a:lumOff val="3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2004-2014'!$G$33:$G$49</c:f>
              <c:numCache>
                <c:formatCode>0.0</c:formatCode>
                <c:ptCount val="17"/>
                <c:pt idx="0">
                  <c:v>0.30000000000000032</c:v>
                </c:pt>
                <c:pt idx="1">
                  <c:v>0.5</c:v>
                </c:pt>
                <c:pt idx="2">
                  <c:v>3.4</c:v>
                </c:pt>
                <c:pt idx="3">
                  <c:v>7.85</c:v>
                </c:pt>
                <c:pt idx="4">
                  <c:v>17.8</c:v>
                </c:pt>
                <c:pt idx="5">
                  <c:v>23.2</c:v>
                </c:pt>
                <c:pt idx="6">
                  <c:v>16.350000000000001</c:v>
                </c:pt>
                <c:pt idx="7">
                  <c:v>11.7</c:v>
                </c:pt>
                <c:pt idx="8">
                  <c:v>6.05</c:v>
                </c:pt>
                <c:pt idx="9">
                  <c:v>5.95</c:v>
                </c:pt>
                <c:pt idx="10">
                  <c:v>2.6500000000000004</c:v>
                </c:pt>
                <c:pt idx="11">
                  <c:v>2.25</c:v>
                </c:pt>
                <c:pt idx="12">
                  <c:v>1</c:v>
                </c:pt>
                <c:pt idx="13">
                  <c:v>0.4</c:v>
                </c:pt>
                <c:pt idx="14" formatCode="General">
                  <c:v>0</c:v>
                </c:pt>
                <c:pt idx="15" formatCode="General">
                  <c:v>0</c:v>
                </c:pt>
                <c:pt idx="16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'Возр сост 2004-2014'!$L$32</c:f>
              <c:strCache>
                <c:ptCount val="1"/>
                <c:pt idx="0">
                  <c:v>2017-2019</c:v>
                </c:pt>
              </c:strCache>
            </c:strRef>
          </c:tx>
          <c:spPr>
            <a:ln w="44450" cap="rnd">
              <a:solidFill>
                <a:sysClr val="windowText" lastClr="00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'Возр сост 2004-2014'!$C$33:$C$49</c:f>
              <c:strCache>
                <c:ptCount val="17"/>
                <c:pt idx="0">
                  <c:v>6+</c:v>
                </c:pt>
                <c:pt idx="1">
                  <c:v>7+</c:v>
                </c:pt>
                <c:pt idx="2">
                  <c:v>8+</c:v>
                </c:pt>
                <c:pt idx="3">
                  <c:v>9+</c:v>
                </c:pt>
                <c:pt idx="4">
                  <c:v>10+</c:v>
                </c:pt>
                <c:pt idx="5">
                  <c:v>11+</c:v>
                </c:pt>
                <c:pt idx="6">
                  <c:v>12+</c:v>
                </c:pt>
                <c:pt idx="7">
                  <c:v>13+</c:v>
                </c:pt>
                <c:pt idx="8">
                  <c:v>14+</c:v>
                </c:pt>
                <c:pt idx="9">
                  <c:v>15+</c:v>
                </c:pt>
                <c:pt idx="10">
                  <c:v>16+</c:v>
                </c:pt>
                <c:pt idx="11">
                  <c:v>17+</c:v>
                </c:pt>
                <c:pt idx="12">
                  <c:v>18+</c:v>
                </c:pt>
                <c:pt idx="13">
                  <c:v>19+</c:v>
                </c:pt>
                <c:pt idx="14">
                  <c:v>20+</c:v>
                </c:pt>
                <c:pt idx="15">
                  <c:v>21+</c:v>
                </c:pt>
                <c:pt idx="16">
                  <c:v>22+</c:v>
                </c:pt>
              </c:strCache>
            </c:strRef>
          </c:cat>
          <c:val>
            <c:numRef>
              <c:f>'Возр сост 2004-2014'!$L$33:$L$49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0.2</c:v>
                </c:pt>
                <c:pt idx="3">
                  <c:v>0.56666666666666676</c:v>
                </c:pt>
                <c:pt idx="4">
                  <c:v>5.8333333333333828</c:v>
                </c:pt>
                <c:pt idx="5">
                  <c:v>21.2</c:v>
                </c:pt>
                <c:pt idx="6">
                  <c:v>31.633333333333109</c:v>
                </c:pt>
                <c:pt idx="7">
                  <c:v>22</c:v>
                </c:pt>
                <c:pt idx="8">
                  <c:v>14.266666666666676</c:v>
                </c:pt>
                <c:pt idx="9">
                  <c:v>3.1333333333333342</c:v>
                </c:pt>
                <c:pt idx="10">
                  <c:v>0.96666666666666667</c:v>
                </c:pt>
                <c:pt idx="11">
                  <c:v>0.2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ser>
          <c:idx val="3"/>
          <c:order val="3"/>
          <c:tx>
            <c:strRef>
              <c:f>'Возр сост 2004-2014'!$M$32</c:f>
              <c:strCache>
                <c:ptCount val="1"/>
                <c:pt idx="0">
                  <c:v>2020-2021</c:v>
                </c:pt>
              </c:strCache>
            </c:strRef>
          </c:tx>
          <c:spPr>
            <a:ln w="349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val>
            <c:numRef>
              <c:f>'Возр сост 2004-2014'!$M$33:$M$49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5.2</c:v>
                </c:pt>
                <c:pt idx="5">
                  <c:v>16.7</c:v>
                </c:pt>
                <c:pt idx="6">
                  <c:v>21.4</c:v>
                </c:pt>
                <c:pt idx="7">
                  <c:v>19.2</c:v>
                </c:pt>
                <c:pt idx="8">
                  <c:v>18.3</c:v>
                </c:pt>
                <c:pt idx="9">
                  <c:v>11.2</c:v>
                </c:pt>
                <c:pt idx="10">
                  <c:v>4.7</c:v>
                </c:pt>
                <c:pt idx="11">
                  <c:v>1.4</c:v>
                </c:pt>
                <c:pt idx="12">
                  <c:v>0.9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marker val="1"/>
        <c:axId val="87116416"/>
        <c:axId val="87139072"/>
      </c:lineChart>
      <c:catAx>
        <c:axId val="871164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Возраст, лет</a:t>
                </a:r>
              </a:p>
            </c:rich>
          </c:tx>
          <c:layout>
            <c:manualLayout>
              <c:xMode val="edge"/>
              <c:yMode val="edge"/>
              <c:x val="0.40055500512767733"/>
              <c:y val="0.8950958005249346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7139072"/>
        <c:crosses val="autoZero"/>
        <c:auto val="1"/>
        <c:lblAlgn val="ctr"/>
        <c:lblOffset val="100"/>
      </c:catAx>
      <c:valAx>
        <c:axId val="871390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b="1"/>
                </a:pPr>
                <a:r>
                  <a:rPr lang="ru-RU" b="1"/>
                  <a:t>Процент в уловах</a:t>
                </a:r>
              </a:p>
            </c:rich>
          </c:tx>
          <c:layout>
            <c:manualLayout>
              <c:xMode val="edge"/>
              <c:yMode val="edge"/>
              <c:x val="5.6934619088146933E-2"/>
              <c:y val="0.17774062982187341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9525">
            <a:solidFill>
              <a:sysClr val="window" lastClr="FFFFFF">
                <a:lumMod val="65000"/>
              </a:sysClr>
            </a:solidFill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71164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936700554355854"/>
          <c:y val="0.38605910347125288"/>
          <c:w val="0.18233015973839894"/>
          <c:h val="0.42485479663192138"/>
        </c:manualLayout>
      </c:layout>
      <c:spPr>
        <a:noFill/>
        <a:ln w="25400">
          <a:noFill/>
        </a:ln>
      </c:sp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0.12628</cdr:x>
      <cdr:y>0</cdr:y>
    </cdr:from>
    <cdr:to>
      <cdr:x>0.20412</cdr:x>
      <cdr:y>0.09968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72513" y="0"/>
          <a:ext cx="476184" cy="2349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 baseline="0">
              <a:latin typeface="Times New Roman" pitchFamily="18" charset="0"/>
              <a:cs typeface="Times New Roman" pitchFamily="18" charset="0"/>
            </a:rPr>
            <a:t>B</a:t>
          </a:r>
          <a:r>
            <a:rPr lang="en-US" sz="1400" b="1" baseline="-25000">
              <a:latin typeface="Times New Roman" pitchFamily="18" charset="0"/>
              <a:cs typeface="Times New Roman" pitchFamily="18" charset="0"/>
            </a:rPr>
            <a:t>i</a:t>
          </a:r>
          <a:endParaRPr lang="ru-RU" sz="1400" b="1" baseline="-25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0.12555</cdr:x>
      <cdr:y>0.2118</cdr:y>
    </cdr:from>
    <cdr:to>
      <cdr:x>0.2115</cdr:x>
      <cdr:y>0.31556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68077" y="499182"/>
          <a:ext cx="525796" cy="244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>
              <a:latin typeface="Times New Roman" pitchFamily="18" charset="0"/>
              <a:cs typeface="Times New Roman" pitchFamily="18" charset="0"/>
            </a:rPr>
            <a:t>B</a:t>
          </a:r>
          <a:r>
            <a:rPr lang="en-US" sz="1400" b="1" baseline="-25000">
              <a:latin typeface="Times New Roman" pitchFamily="18" charset="0"/>
              <a:cs typeface="Times New Roman" pitchFamily="18" charset="0"/>
            </a:rPr>
            <a:t>buf</a:t>
          </a:r>
          <a:endParaRPr lang="ru-RU" sz="1400" b="1" baseline="-25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0.12329</cdr:x>
      <cdr:y>0.37729</cdr:y>
    </cdr:from>
    <cdr:to>
      <cdr:x>0.21995</cdr:x>
      <cdr:y>0.50146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754219" y="889215"/>
          <a:ext cx="591314" cy="2926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>
              <a:latin typeface="Times New Roman" pitchFamily="18" charset="0"/>
              <a:cs typeface="Times New Roman" pitchFamily="18" charset="0"/>
            </a:rPr>
            <a:t>B</a:t>
          </a:r>
          <a:r>
            <a:rPr lang="en-US" sz="1400" b="1" baseline="-25000">
              <a:latin typeface="Times New Roman" pitchFamily="18" charset="0"/>
              <a:cs typeface="Times New Roman" pitchFamily="18" charset="0"/>
            </a:rPr>
            <a:t>lim</a:t>
          </a:r>
          <a:endParaRPr lang="ru-RU" sz="1400" b="1" baseline="-25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9342F-AD34-438D-AEC1-5BDB709D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18</Pages>
  <Words>6521</Words>
  <Characters>37175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79293343654</dc:creator>
  <cp:keywords/>
  <dc:description/>
  <cp:lastModifiedBy>Мирач</cp:lastModifiedBy>
  <cp:revision>80</cp:revision>
  <cp:lastPrinted>2022-03-21T07:37:00Z</cp:lastPrinted>
  <dcterms:created xsi:type="dcterms:W3CDTF">2022-03-05T02:13:00Z</dcterms:created>
  <dcterms:modified xsi:type="dcterms:W3CDTF">2022-03-23T04:33:00Z</dcterms:modified>
</cp:coreProperties>
</file>